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65"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41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ProKidney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160" w:type="dxa"/>
            <w:vAlign w:val="bottom"/>
          </w:tcPr>
          <w:p>
            <w:pPr>
              <w:jc w:val="center"/>
              <w:ind w:left="1383"/>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20" w:type="dxa"/>
            <w:vAlign w:val="bottom"/>
          </w:tcPr>
          <w:p>
            <w:pPr>
              <w:jc w:val="right"/>
              <w:ind w:right="2305"/>
              <w:spacing w:after="0"/>
              <w:rPr>
                <w:sz w:val="20"/>
                <w:szCs w:val="20"/>
                <w:color w:val="auto"/>
              </w:rPr>
            </w:pPr>
            <w:r>
              <w:rPr>
                <w:rFonts w:ascii="Times New Roman" w:cs="Times New Roman" w:eastAsia="Times New Roman" w:hAnsi="Times New Roman"/>
                <w:sz w:val="18"/>
                <w:szCs w:val="18"/>
                <w:b w:val="1"/>
                <w:bCs w:val="1"/>
                <w:color w:val="auto"/>
              </w:rPr>
              <w:t>98-1586514</w:t>
            </w:r>
          </w:p>
        </w:tc>
        <w:tc>
          <w:tcPr>
            <w:tcW w:w="0" w:type="dxa"/>
            <w:vAlign w:val="bottom"/>
          </w:tcPr>
          <w:p>
            <w:pPr>
              <w:spacing w:after="0"/>
              <w:rPr>
                <w:sz w:val="1"/>
                <w:szCs w:val="1"/>
                <w:color w:val="auto"/>
              </w:rPr>
            </w:pPr>
          </w:p>
        </w:tc>
      </w:tr>
      <w:tr>
        <w:trPr>
          <w:trHeight w:val="142"/>
        </w:trPr>
        <w:tc>
          <w:tcPr>
            <w:tcW w:w="4160" w:type="dxa"/>
            <w:vAlign w:val="bottom"/>
          </w:tcPr>
          <w:p>
            <w:pPr>
              <w:jc w:val="center"/>
              <w:ind w:left="1383"/>
              <w:spacing w:after="0" w:line="142" w:lineRule="exact"/>
              <w:rPr>
                <w:sz w:val="20"/>
                <w:szCs w:val="20"/>
                <w:color w:val="auto"/>
              </w:rPr>
            </w:pPr>
            <w:r>
              <w:rPr>
                <w:rFonts w:ascii="Times New Roman" w:cs="Times New Roman" w:eastAsia="Times New Roman" w:hAnsi="Times New Roman"/>
                <w:sz w:val="13"/>
                <w:szCs w:val="13"/>
                <w:b w:val="1"/>
                <w:bCs w:val="1"/>
                <w:color w:val="auto"/>
                <w:w w:val="97"/>
              </w:rPr>
              <w:t>( State or other jurisdiction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20" w:type="dxa"/>
            <w:vAlign w:val="bottom"/>
          </w:tcPr>
          <w:p>
            <w:pPr>
              <w:jc w:val="center"/>
              <w:ind w:right="1525"/>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40"/>
        </w:trPr>
        <w:tc>
          <w:tcPr>
            <w:tcW w:w="4160" w:type="dxa"/>
            <w:vAlign w:val="bottom"/>
          </w:tcPr>
          <w:p>
            <w:pPr>
              <w:jc w:val="center"/>
              <w:ind w:left="1383"/>
              <w:spacing w:after="0" w:line="140" w:lineRule="exact"/>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20" w:type="dxa"/>
            <w:vAlign w:val="bottom"/>
          </w:tcPr>
          <w:p>
            <w:pPr>
              <w:jc w:val="center"/>
              <w:ind w:right="1525"/>
              <w:spacing w:after="0" w:line="140"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29"/>
        </w:trPr>
        <w:tc>
          <w:tcPr>
            <w:tcW w:w="4160" w:type="dxa"/>
            <w:vAlign w:val="bottom"/>
          </w:tcPr>
          <w:p>
            <w:pPr>
              <w:jc w:val="center"/>
              <w:ind w:left="1383"/>
              <w:spacing w:after="0"/>
              <w:rPr>
                <w:sz w:val="20"/>
                <w:szCs w:val="20"/>
                <w:color w:val="auto"/>
              </w:rPr>
            </w:pPr>
            <w:r>
              <w:rPr>
                <w:rFonts w:ascii="Times New Roman" w:cs="Times New Roman" w:eastAsia="Times New Roman" w:hAnsi="Times New Roman"/>
                <w:sz w:val="18"/>
                <w:szCs w:val="18"/>
                <w:b w:val="1"/>
                <w:bCs w:val="1"/>
                <w:color w:val="auto"/>
                <w:w w:val="99"/>
              </w:rPr>
              <w:t>2000 Frontis Plaza Blvd., Suite 250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160" w:type="dxa"/>
            <w:vAlign w:val="bottom"/>
          </w:tcPr>
          <w:p>
            <w:pPr>
              <w:jc w:val="center"/>
              <w:ind w:left="1383"/>
              <w:spacing w:after="0"/>
              <w:rPr>
                <w:sz w:val="20"/>
                <w:szCs w:val="20"/>
                <w:color w:val="auto"/>
              </w:rPr>
            </w:pPr>
            <w:r>
              <w:rPr>
                <w:rFonts w:ascii="Times New Roman" w:cs="Times New Roman" w:eastAsia="Times New Roman" w:hAnsi="Times New Roman"/>
                <w:sz w:val="18"/>
                <w:szCs w:val="18"/>
                <w:b w:val="1"/>
                <w:bCs w:val="1"/>
                <w:color w:val="auto"/>
              </w:rPr>
              <w:t>Winston-Salem, NC</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20" w:type="dxa"/>
            <w:vAlign w:val="bottom"/>
          </w:tcPr>
          <w:p>
            <w:pPr>
              <w:jc w:val="right"/>
              <w:ind w:right="2505"/>
              <w:spacing w:after="0"/>
              <w:rPr>
                <w:sz w:val="20"/>
                <w:szCs w:val="20"/>
                <w:color w:val="auto"/>
              </w:rPr>
            </w:pPr>
            <w:r>
              <w:rPr>
                <w:rFonts w:ascii="Times New Roman" w:cs="Times New Roman" w:eastAsia="Times New Roman" w:hAnsi="Times New Roman"/>
                <w:sz w:val="18"/>
                <w:szCs w:val="18"/>
                <w:b w:val="1"/>
                <w:bCs w:val="1"/>
                <w:color w:val="auto"/>
              </w:rPr>
              <w:t>27103</w:t>
            </w:r>
          </w:p>
        </w:tc>
        <w:tc>
          <w:tcPr>
            <w:tcW w:w="0" w:type="dxa"/>
            <w:vAlign w:val="bottom"/>
          </w:tcPr>
          <w:p>
            <w:pPr>
              <w:spacing w:after="0"/>
              <w:rPr>
                <w:sz w:val="1"/>
                <w:szCs w:val="1"/>
                <w:color w:val="auto"/>
              </w:rPr>
            </w:pPr>
          </w:p>
        </w:tc>
      </w:tr>
      <w:tr>
        <w:trPr>
          <w:trHeight w:val="166"/>
        </w:trPr>
        <w:tc>
          <w:tcPr>
            <w:tcW w:w="4160" w:type="dxa"/>
            <w:vAlign w:val="bottom"/>
          </w:tcPr>
          <w:p>
            <w:pPr>
              <w:jc w:val="center"/>
              <w:ind w:left="1383"/>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20" w:type="dxa"/>
            <w:vAlign w:val="bottom"/>
          </w:tcPr>
          <w:p>
            <w:pPr>
              <w:jc w:val="center"/>
              <w:ind w:right="1525"/>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20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(336) 999-7019</w:t>
            </w: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4160" w:type="dxa"/>
            <w:vAlign w:val="bottom"/>
          </w:tcPr>
          <w:p>
            <w:pPr>
              <w:spacing w:after="0"/>
              <w:rPr>
                <w:sz w:val="14"/>
                <w:szCs w:val="14"/>
                <w:color w:val="auto"/>
              </w:rPr>
            </w:pPr>
          </w:p>
        </w:tc>
        <w:tc>
          <w:tcPr>
            <w:tcW w:w="3060" w:type="dxa"/>
            <w:vAlign w:val="bottom"/>
            <w:gridSpan w:val="7"/>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2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1"/>
        </w:trPr>
        <w:tc>
          <w:tcPr>
            <w:tcW w:w="7220" w:type="dxa"/>
            <w:vAlign w:val="bottom"/>
            <w:gridSpan w:val="8"/>
          </w:tcPr>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416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20" w:type="dxa"/>
            <w:vAlign w:val="bottom"/>
            <w:vMerge w:val="restart"/>
          </w:tcPr>
          <w:p>
            <w:pPr>
              <w:jc w:val="center"/>
              <w:ind w:right="94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Class A common stock, $0.0001 par value per share</w:t>
            </w:r>
          </w:p>
        </w:tc>
        <w:tc>
          <w:tcPr>
            <w:tcW w:w="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Times New Roman" w:cs="Times New Roman" w:eastAsia="Times New Roman" w:hAnsi="Times New Roman"/>
                <w:sz w:val="16"/>
                <w:szCs w:val="16"/>
                <w:color w:val="auto"/>
                <w:w w:val="98"/>
              </w:rPr>
              <w:t>PROK</w:t>
            </w:r>
          </w:p>
        </w:tc>
        <w:tc>
          <w:tcPr>
            <w:tcW w:w="120" w:type="dxa"/>
            <w:vAlign w:val="bottom"/>
          </w:tcPr>
          <w:p>
            <w:pPr>
              <w:spacing w:after="0"/>
              <w:rPr>
                <w:sz w:val="17"/>
                <w:szCs w:val="17"/>
                <w:color w:val="auto"/>
              </w:rPr>
            </w:pPr>
          </w:p>
        </w:tc>
        <w:tc>
          <w:tcPr>
            <w:tcW w:w="1020" w:type="dxa"/>
            <w:vAlign w:val="bottom"/>
            <w:tcBorders>
              <w:top w:val="single" w:sz="8" w:color="auto"/>
            </w:tcBorders>
            <w:gridSpan w:val="2"/>
          </w:tcPr>
          <w:p>
            <w:pPr>
              <w:spacing w:after="0"/>
              <w:rPr>
                <w:sz w:val="17"/>
                <w:szCs w:val="17"/>
                <w:color w:val="auto"/>
              </w:rPr>
            </w:pPr>
          </w:p>
        </w:tc>
        <w:tc>
          <w:tcPr>
            <w:tcW w:w="4020" w:type="dxa"/>
            <w:vAlign w:val="bottom"/>
            <w:tcBorders>
              <w:top w:val="single" w:sz="8" w:color="auto"/>
            </w:tcBorders>
          </w:tcPr>
          <w:p>
            <w:pPr>
              <w:jc w:val="center"/>
              <w:ind w:right="965"/>
              <w:spacing w:after="0"/>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tbl>
      <w:tblPr>
        <w:tblLayout w:type="fixed"/>
        <w:tblInd w:w="600" w:type="dxa"/>
        <w:tblCellMar>
          <w:top w:w="0" w:type="dxa"/>
          <w:left w:w="0" w:type="dxa"/>
          <w:bottom w:w="0" w:type="dxa"/>
          <w:right w:w="0" w:type="dxa"/>
        </w:tblCellMar>
      </w:tblPr>
      <w:tr>
        <w:trPr>
          <w:trHeight w:val="272"/>
        </w:trPr>
        <w:tc>
          <w:tcPr>
            <w:tcW w:w="866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1940" w:type="dxa"/>
            <w:vAlign w:val="bottom"/>
          </w:tcPr>
          <w:p>
            <w:pPr>
              <w:spacing w:after="0"/>
              <w:rPr>
                <w:sz w:val="23"/>
                <w:szCs w:val="23"/>
                <w:color w:val="auto"/>
              </w:rPr>
            </w:pPr>
          </w:p>
        </w:tc>
      </w:tr>
      <w:tr>
        <w:trPr>
          <w:trHeight w:val="328"/>
        </w:trPr>
        <w:tc>
          <w:tcPr>
            <w:tcW w:w="720" w:type="dxa"/>
            <w:vAlign w:val="bottom"/>
          </w:tcPr>
          <w:p>
            <w:pPr>
              <w:spacing w:after="0"/>
              <w:rPr>
                <w:sz w:val="24"/>
                <w:szCs w:val="24"/>
                <w:color w:val="auto"/>
              </w:rPr>
            </w:pPr>
          </w:p>
        </w:tc>
        <w:tc>
          <w:tcPr>
            <w:tcW w:w="5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Class of Stock</w:t>
            </w:r>
          </w:p>
        </w:tc>
        <w:tc>
          <w:tcPr>
            <w:tcW w:w="280" w:type="dxa"/>
            <w:vAlign w:val="bottom"/>
          </w:tcPr>
          <w:p>
            <w:pPr>
              <w:spacing w:after="0"/>
              <w:rPr>
                <w:sz w:val="24"/>
                <w:szCs w:val="24"/>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 Outstanding as of May 15,</w:t>
            </w:r>
          </w:p>
        </w:tc>
        <w:tc>
          <w:tcPr>
            <w:tcW w:w="1940" w:type="dxa"/>
            <w:vAlign w:val="bottom"/>
            <w:tcBorders>
              <w:bottom w:val="single" w:sz="8" w:color="auto"/>
            </w:tcBorders>
          </w:tcPr>
          <w:p>
            <w:pPr>
              <w:jc w:val="right"/>
              <w:ind w:right="1519"/>
              <w:spacing w:after="0"/>
              <w:rPr>
                <w:sz w:val="20"/>
                <w:szCs w:val="20"/>
                <w:color w:val="auto"/>
              </w:rPr>
            </w:pPr>
            <w:r>
              <w:rPr>
                <w:rFonts w:ascii="Times New Roman" w:cs="Times New Roman" w:eastAsia="Times New Roman" w:hAnsi="Times New Roman"/>
                <w:sz w:val="16"/>
                <w:szCs w:val="16"/>
                <w:b w:val="1"/>
                <w:bCs w:val="1"/>
                <w:color w:val="auto"/>
                <w:w w:val="99"/>
              </w:rPr>
              <w:t>2026</w:t>
            </w:r>
          </w:p>
        </w:tc>
      </w:tr>
      <w:tr>
        <w:trPr>
          <w:trHeight w:val="260"/>
        </w:trPr>
        <w:tc>
          <w:tcPr>
            <w:tcW w:w="720" w:type="dxa"/>
            <w:vAlign w:val="bottom"/>
          </w:tcPr>
          <w:p>
            <w:pPr>
              <w:spacing w:after="0"/>
              <w:rPr>
                <w:sz w:val="22"/>
                <w:szCs w:val="22"/>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2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205,199,713</w:t>
            </w:r>
          </w:p>
        </w:tc>
      </w:tr>
      <w:tr>
        <w:trPr>
          <w:trHeight w:val="270"/>
        </w:trPr>
        <w:tc>
          <w:tcPr>
            <w:tcW w:w="720" w:type="dxa"/>
            <w:vAlign w:val="bottom"/>
          </w:tcPr>
          <w:p>
            <w:pPr>
              <w:spacing w:after="0"/>
              <w:rPr>
                <w:sz w:val="23"/>
                <w:szCs w:val="23"/>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B common stock, par value $0.0001 per share</w:t>
            </w:r>
          </w:p>
        </w:tc>
        <w:tc>
          <w:tcPr>
            <w:tcW w:w="2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96,859,913</w:t>
            </w:r>
          </w:p>
        </w:tc>
      </w:tr>
    </w:tbl>
    <w:p>
      <w:pPr>
        <w:spacing w:after="0" w:line="224" w:lineRule="auto"/>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 (Unaudited)</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6"/>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Redeemable Noncontrolling Interest and Stockholders’ Deficit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75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18"/>
                <w:szCs w:val="18"/>
                <w:color w:val="auto"/>
              </w:rPr>
            </w:pPr>
          </w:p>
        </w:tc>
        <w:tc>
          <w:tcPr>
            <w:tcW w:w="1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8"/>
        </w:trPr>
        <w:tc>
          <w:tcPr>
            <w:tcW w:w="6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101,895</w:t>
            </w:r>
          </w:p>
        </w:tc>
        <w:tc>
          <w:tcPr>
            <w:tcW w:w="3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108,537</w:t>
            </w:r>
          </w:p>
        </w:tc>
        <w:tc>
          <w:tcPr>
            <w:tcW w:w="100" w:type="dxa"/>
            <w:vAlign w:val="bottom"/>
          </w:tcPr>
          <w:p>
            <w:pPr>
              <w:spacing w:after="0"/>
              <w:rPr>
                <w:sz w:val="18"/>
                <w:szCs w:val="18"/>
                <w:color w:val="auto"/>
              </w:rPr>
            </w:pPr>
          </w:p>
        </w:tc>
      </w:tr>
      <w:tr>
        <w:trPr>
          <w:trHeight w:val="216"/>
        </w:trPr>
        <w:tc>
          <w:tcPr>
            <w:tcW w:w="66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123,049</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161,480</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receivable</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18"/>
                <w:szCs w:val="18"/>
                <w:color w:val="auto"/>
              </w:rPr>
            </w:pPr>
          </w:p>
        </w:tc>
      </w:tr>
      <w:tr>
        <w:trPr>
          <w:trHeight w:val="216"/>
        </w:trPr>
        <w:tc>
          <w:tcPr>
            <w:tcW w:w="66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assets</w:t>
            </w:r>
          </w:p>
        </w:tc>
        <w:tc>
          <w:tcPr>
            <w:tcW w:w="2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clinical</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00" w:type="dxa"/>
            <w:vAlign w:val="bottom"/>
          </w:tcPr>
          <w:p>
            <w:pPr>
              <w:spacing w:after="0"/>
              <w:rPr>
                <w:sz w:val="18"/>
                <w:szCs w:val="18"/>
                <w:color w:val="auto"/>
              </w:rPr>
            </w:pPr>
          </w:p>
        </w:tc>
      </w:tr>
      <w:tr>
        <w:trPr>
          <w:trHeight w:val="216"/>
        </w:trPr>
        <w:tc>
          <w:tcPr>
            <w:tcW w:w="662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234,902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280,679</w:t>
            </w:r>
          </w:p>
        </w:tc>
        <w:tc>
          <w:tcPr>
            <w:tcW w:w="100" w:type="dxa"/>
            <w:vAlign w:val="bottom"/>
          </w:tcPr>
          <w:p>
            <w:pPr>
              <w:spacing w:after="0"/>
              <w:rPr>
                <w:sz w:val="19"/>
                <w:szCs w:val="19"/>
                <w:color w:val="auto"/>
              </w:rPr>
            </w:pPr>
          </w:p>
        </w:tc>
      </w:tr>
      <w:tr>
        <w:trPr>
          <w:trHeight w:val="198"/>
        </w:trPr>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2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54,441</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51,231</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Right of use assets, net</w:t>
            </w: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3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tcBorders>
              <w:bottom w:val="single" w:sz="8" w:color="CFF0FC"/>
            </w:tcBorders>
          </w:tcPr>
          <w:p>
            <w:pPr>
              <w:spacing w:after="0"/>
              <w:rPr>
                <w:sz w:val="18"/>
                <w:szCs w:val="18"/>
                <w:color w:val="auto"/>
              </w:rPr>
            </w:pPr>
          </w:p>
        </w:tc>
      </w:tr>
      <w:tr>
        <w:trPr>
          <w:trHeight w:val="249"/>
        </w:trPr>
        <w:tc>
          <w:tcPr>
            <w:tcW w:w="6620" w:type="dxa"/>
            <w:vAlign w:val="bottom"/>
            <w:tcBorders>
              <w:bottom w:val="single" w:sz="8" w:color="CFF0FC"/>
              <w:right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292,784</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6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18"/>
                <w:szCs w:val="18"/>
                <w:color w:val="auto"/>
              </w:rPr>
            </w:pPr>
          </w:p>
        </w:tc>
      </w:tr>
      <w:tr>
        <w:trPr>
          <w:trHeight w:val="216"/>
        </w:trPr>
        <w:tc>
          <w:tcPr>
            <w:tcW w:w="66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22,231</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28,731</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8"/>
                <w:szCs w:val="18"/>
                <w:color w:val="auto"/>
              </w:rPr>
            </w:pPr>
          </w:p>
        </w:tc>
        <w:tc>
          <w:tcPr>
            <w:tcW w:w="2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20" w:type="dxa"/>
            <w:vAlign w:val="bottom"/>
            <w:tcBorders>
              <w:right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25,931</w:t>
            </w:r>
          </w:p>
        </w:tc>
        <w:tc>
          <w:tcPr>
            <w:tcW w:w="3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30,742</w:t>
            </w:r>
          </w:p>
        </w:tc>
        <w:tc>
          <w:tcPr>
            <w:tcW w:w="100" w:type="dxa"/>
            <w:vAlign w:val="bottom"/>
            <w:shd w:val="clear" w:color="auto" w:fill="CFF0FC"/>
          </w:tcPr>
          <w:p>
            <w:pPr>
              <w:spacing w:after="0"/>
              <w:rPr>
                <w:sz w:val="18"/>
                <w:szCs w:val="18"/>
                <w:color w:val="auto"/>
              </w:rPr>
            </w:pPr>
          </w:p>
        </w:tc>
      </w:tr>
      <w:tr>
        <w:trPr>
          <w:trHeight w:val="43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 net of current portion</w:t>
            </w:r>
          </w:p>
        </w:tc>
        <w:tc>
          <w:tcPr>
            <w:tcW w:w="2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24"/>
                <w:szCs w:val="24"/>
                <w:color w:val="auto"/>
              </w:rPr>
            </w:pPr>
          </w:p>
        </w:tc>
      </w:tr>
      <w:tr>
        <w:trPr>
          <w:trHeight w:val="216"/>
        </w:trPr>
        <w:tc>
          <w:tcPr>
            <w:tcW w:w="66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34,781</w:t>
            </w:r>
          </w:p>
        </w:tc>
        <w:tc>
          <w:tcPr>
            <w:tcW w:w="100" w:type="dxa"/>
            <w:vAlign w:val="bottom"/>
          </w:tcPr>
          <w:p>
            <w:pPr>
              <w:spacing w:after="0"/>
              <w:rPr>
                <w:sz w:val="18"/>
                <w:szCs w:val="18"/>
                <w:color w:val="auto"/>
              </w:rPr>
            </w:pPr>
          </w:p>
        </w:tc>
      </w:tr>
      <w:tr>
        <w:trPr>
          <w:trHeight w:val="216"/>
        </w:trPr>
        <w:tc>
          <w:tcPr>
            <w:tcW w:w="6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1,286,887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1,311,990</w:t>
            </w:r>
          </w:p>
        </w:tc>
        <w:tc>
          <w:tcPr>
            <w:tcW w:w="100" w:type="dxa"/>
            <w:vAlign w:val="bottom"/>
          </w:tcPr>
          <w:p>
            <w:pPr>
              <w:spacing w:after="0"/>
              <w:rPr>
                <w:sz w:val="20"/>
                <w:szCs w:val="20"/>
                <w:color w:val="auto"/>
              </w:rPr>
            </w:pPr>
          </w:p>
        </w:tc>
      </w:tr>
      <w:tr>
        <w:trPr>
          <w:trHeight w:val="198"/>
        </w:trPr>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6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700,000,000</w:t>
            </w: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authorized as of March 31, 2026 and</w:t>
            </w: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2025; 141,980,643 and 141,807,277</w:t>
            </w: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issued and outstanding as of March 31, 2026 and</w:t>
            </w: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r>
      <w:tr>
        <w:trPr>
          <w:trHeight w:val="198"/>
        </w:trPr>
        <w:tc>
          <w:tcPr>
            <w:tcW w:w="6620" w:type="dxa"/>
            <w:vAlign w:val="bottom"/>
            <w:tcBorders>
              <w:right w:val="single" w:sz="8" w:color="CFF0FC"/>
            </w:tcBorders>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500,000,000 shares</w:t>
            </w:r>
          </w:p>
        </w:tc>
        <w:tc>
          <w:tcPr>
            <w:tcW w:w="26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authorized; 159,973,334 and 159,262,779 shares issued and</w:t>
            </w:r>
          </w:p>
        </w:tc>
        <w:tc>
          <w:tcPr>
            <w:tcW w:w="2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as of March 31, 2026 and December 31, 2025,</w:t>
            </w:r>
          </w:p>
        </w:tc>
        <w:tc>
          <w:tcPr>
            <w:tcW w:w="2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6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0"/>
                <w:szCs w:val="20"/>
                <w:color w:val="auto"/>
              </w:rPr>
            </w:pPr>
          </w:p>
        </w:tc>
      </w:tr>
      <w:tr>
        <w:trPr>
          <w:trHeight w:val="216"/>
        </w:trPr>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266,112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258,552</w:t>
            </w:r>
          </w:p>
        </w:tc>
        <w:tc>
          <w:tcPr>
            <w:tcW w:w="100" w:type="dxa"/>
            <w:vAlign w:val="bottom"/>
          </w:tcPr>
          <w:p>
            <w:pPr>
              <w:spacing w:after="0"/>
              <w:rPr>
                <w:sz w:val="18"/>
                <w:szCs w:val="18"/>
                <w:color w:val="auto"/>
              </w:rPr>
            </w:pPr>
          </w:p>
        </w:tc>
      </w:tr>
      <w:tr>
        <w:trPr>
          <w:trHeight w:val="216"/>
        </w:trPr>
        <w:tc>
          <w:tcPr>
            <w:tcW w:w="662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Accumulated other comprehensive (loss) gain</w:t>
            </w:r>
          </w:p>
        </w:tc>
        <w:tc>
          <w:tcPr>
            <w:tcW w:w="2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2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(1,289,872)</w:t>
            </w:r>
          </w:p>
        </w:tc>
        <w:tc>
          <w:tcPr>
            <w:tcW w:w="20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(1,269,835)</w:t>
            </w:r>
          </w:p>
        </w:tc>
      </w:tr>
      <w:tr>
        <w:trPr>
          <w:trHeight w:val="20"/>
        </w:trPr>
        <w:tc>
          <w:tcPr>
            <w:tcW w:w="6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(1,023,783)</w:t>
            </w:r>
          </w:p>
        </w:tc>
        <w:tc>
          <w:tcPr>
            <w:tcW w:w="20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(1,011,197)</w:t>
            </w:r>
          </w:p>
        </w:tc>
      </w:tr>
      <w:tr>
        <w:trPr>
          <w:trHeight w:val="20"/>
        </w:trPr>
        <w:tc>
          <w:tcPr>
            <w:tcW w:w="66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292,784</w:t>
            </w:r>
          </w:p>
        </w:tc>
        <w:tc>
          <w:tcPr>
            <w:tcW w:w="3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335,574</w:t>
            </w:r>
          </w:p>
        </w:tc>
        <w:tc>
          <w:tcPr>
            <w:tcW w:w="10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-4765675</wp:posOffset>
            </wp:positionV>
            <wp:extent cx="768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-4765675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-4062730</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-4045585</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-4208145</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-4062730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-4045585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-2656840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7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60" w:type="dxa"/>
            <w:vAlign w:val="bottom"/>
            <w:gridSpan w:val="5"/>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33,842</w:t>
            </w: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11,317</w:t>
            </w:r>
          </w:p>
        </w:tc>
        <w:tc>
          <w:tcPr>
            <w:tcW w:w="3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45,159</w:t>
            </w:r>
          </w:p>
        </w:tc>
        <w:tc>
          <w:tcPr>
            <w:tcW w:w="3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80" w:type="dxa"/>
            <w:vAlign w:val="bottom"/>
          </w:tcPr>
          <w:p>
            <w:pPr>
              <w:spacing w:after="0"/>
              <w:rPr>
                <w:sz w:val="19"/>
                <w:szCs w:val="19"/>
                <w:color w:val="auto"/>
              </w:rPr>
            </w:pPr>
          </w:p>
        </w:tc>
        <w:tc>
          <w:tcPr>
            <w:tcW w:w="1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(44,933)</w:t>
            </w:r>
          </w:p>
        </w:tc>
        <w:tc>
          <w:tcPr>
            <w:tcW w:w="46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(41,388)</w:t>
            </w:r>
          </w:p>
        </w:tc>
        <w:tc>
          <w:tcPr>
            <w:tcW w:w="0" w:type="dxa"/>
            <w:vAlign w:val="bottom"/>
          </w:tcPr>
          <w:p>
            <w:pPr>
              <w:spacing w:after="0"/>
              <w:rPr>
                <w:sz w:val="1"/>
                <w:szCs w:val="1"/>
                <w:color w:val="auto"/>
              </w:rPr>
            </w:pPr>
          </w:p>
        </w:tc>
      </w:tr>
      <w:tr>
        <w:trPr>
          <w:trHeight w:val="198"/>
        </w:trPr>
        <w:tc>
          <w:tcPr>
            <w:tcW w:w="6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480" w:type="dxa"/>
            <w:vAlign w:val="bottom"/>
          </w:tcPr>
          <w:p>
            <w:pPr>
              <w:spacing w:after="0"/>
              <w:rPr>
                <w:sz w:val="18"/>
                <w:szCs w:val="18"/>
                <w:color w:val="auto"/>
              </w:rPr>
            </w:pPr>
          </w:p>
        </w:tc>
        <w:tc>
          <w:tcPr>
            <w:tcW w:w="1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(42,621)</w:t>
            </w:r>
          </w:p>
        </w:tc>
        <w:tc>
          <w:tcPr>
            <w:tcW w:w="46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(37,361)</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Net loss before noncontrolling</w:t>
            </w:r>
          </w:p>
        </w:tc>
        <w:tc>
          <w:tcPr>
            <w:tcW w:w="480" w:type="dxa"/>
            <w:vAlign w:val="bottom"/>
          </w:tcPr>
          <w:p>
            <w:pPr>
              <w:spacing w:after="0"/>
              <w:rPr>
                <w:sz w:val="16"/>
                <w:szCs w:val="16"/>
                <w:color w:val="auto"/>
              </w:rPr>
            </w:pPr>
          </w:p>
        </w:tc>
        <w:tc>
          <w:tcPr>
            <w:tcW w:w="1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(42,621)</w:t>
            </w:r>
          </w:p>
        </w:tc>
        <w:tc>
          <w:tcPr>
            <w:tcW w:w="460" w:type="dxa"/>
            <w:vAlign w:val="bottom"/>
          </w:tcPr>
          <w:p>
            <w:pPr>
              <w:spacing w:after="0"/>
              <w:rPr>
                <w:sz w:val="16"/>
                <w:szCs w:val="16"/>
                <w:color w:val="auto"/>
              </w:rPr>
            </w:pPr>
          </w:p>
        </w:tc>
        <w:tc>
          <w:tcPr>
            <w:tcW w:w="1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(37,952)</w:t>
            </w:r>
          </w:p>
        </w:tc>
        <w:tc>
          <w:tcPr>
            <w:tcW w:w="0" w:type="dxa"/>
            <w:vAlign w:val="bottom"/>
          </w:tcPr>
          <w:p>
            <w:pPr>
              <w:spacing w:after="0"/>
              <w:rPr>
                <w:sz w:val="1"/>
                <w:szCs w:val="1"/>
                <w:color w:val="auto"/>
              </w:rPr>
            </w:pPr>
          </w:p>
        </w:tc>
      </w:tr>
      <w:tr>
        <w:trPr>
          <w:trHeight w:val="221"/>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w:t>
            </w:r>
          </w:p>
        </w:tc>
        <w:tc>
          <w:tcPr>
            <w:tcW w:w="480" w:type="dxa"/>
            <w:vAlign w:val="bottom"/>
          </w:tcPr>
          <w:p>
            <w:pPr>
              <w:spacing w:after="0"/>
              <w:rPr>
                <w:sz w:val="19"/>
                <w:szCs w:val="19"/>
                <w:color w:val="auto"/>
              </w:rPr>
            </w:pPr>
          </w:p>
        </w:tc>
        <w:tc>
          <w:tcPr>
            <w:tcW w:w="19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4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(22,584)</w:t>
            </w:r>
          </w:p>
        </w:tc>
        <w:tc>
          <w:tcPr>
            <w:tcW w:w="4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(21,218)</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 available to Class A common stockholders</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(20,037)</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(16,734)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w:t>
            </w:r>
          </w:p>
        </w:tc>
        <w:tc>
          <w:tcPr>
            <w:tcW w:w="4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141,925,099</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126,976,366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Class A common stock:</w:t>
            </w:r>
          </w:p>
        </w:tc>
        <w:tc>
          <w:tcPr>
            <w:tcW w:w="4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(0.14)</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-2279650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-1584960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-1302385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-882015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1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including noncontrolling interest</w:t>
            </w:r>
          </w:p>
        </w:tc>
        <w:tc>
          <w:tcPr>
            <w:tcW w:w="108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(42,621)</w:t>
            </w:r>
          </w:p>
        </w:tc>
        <w:tc>
          <w:tcPr>
            <w:tcW w:w="126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Unrealized income (loss) on marketable securities</w:t>
            </w: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comprehensive loss including noncontrolling interest</w:t>
            </w: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(42,853)</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Less: Total comprehensive loss attributable to noncontrolling interest</w:t>
            </w:r>
          </w:p>
        </w:tc>
        <w:tc>
          <w:tcPr>
            <w:tcW w:w="10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(22,707)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comprehensive loss attributable to Class A common stockholders</w:t>
            </w:r>
          </w:p>
        </w:tc>
        <w:tc>
          <w:tcPr>
            <w:tcW w:w="108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(20,146)</w:t>
            </w:r>
          </w:p>
        </w:tc>
        <w:tc>
          <w:tcPr>
            <w:tcW w:w="126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5352415</wp:posOffset>
            </wp:positionH>
            <wp:positionV relativeFrom="paragraph">
              <wp:posOffset>-590550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6638290</wp:posOffset>
            </wp:positionH>
            <wp:positionV relativeFrom="paragraph">
              <wp:posOffset>-590550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-24765</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-7620</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6638290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6638290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305" w:right="6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and Stockholders’ Deficit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2026</w:t>
            </w: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2"/>
                <w:szCs w:val="22"/>
                <w:color w:val="auto"/>
              </w:rPr>
            </w:pPr>
          </w:p>
        </w:tc>
        <w:tc>
          <w:tcPr>
            <w:tcW w:w="7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Redeema</w:t>
            </w:r>
          </w:p>
        </w:tc>
        <w:tc>
          <w:tcPr>
            <w:tcW w:w="120" w:type="dxa"/>
            <w:vAlign w:val="bottom"/>
          </w:tcPr>
          <w:p>
            <w:pPr>
              <w:spacing w:after="0"/>
              <w:rPr>
                <w:sz w:val="22"/>
                <w:szCs w:val="22"/>
                <w:color w:val="auto"/>
              </w:rPr>
            </w:pPr>
          </w:p>
        </w:tc>
        <w:tc>
          <w:tcPr>
            <w:tcW w:w="1460" w:type="dxa"/>
            <w:vAlign w:val="bottom"/>
            <w:tcBorders>
              <w:bottom w:val="single" w:sz="8" w:color="auto"/>
            </w:tcBorders>
            <w:gridSpan w:val="4"/>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220" w:type="dxa"/>
            <w:vAlign w:val="bottom"/>
          </w:tcPr>
          <w:p>
            <w:pPr>
              <w:spacing w:after="0"/>
              <w:rPr>
                <w:sz w:val="22"/>
                <w:szCs w:val="22"/>
                <w:color w:val="auto"/>
              </w:rPr>
            </w:pPr>
          </w:p>
        </w:tc>
        <w:tc>
          <w:tcPr>
            <w:tcW w:w="1540" w:type="dxa"/>
            <w:vAlign w:val="bottom"/>
            <w:tcBorders>
              <w:bottom w:val="single" w:sz="8" w:color="auto"/>
            </w:tcBorders>
            <w:gridSpan w:val="4"/>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358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120" w:type="dxa"/>
            <w:vAlign w:val="bottom"/>
            <w:tcBorders>
              <w:left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ble</w:t>
            </w:r>
          </w:p>
        </w:tc>
        <w:tc>
          <w:tcPr>
            <w:tcW w:w="120" w:type="dxa"/>
            <w:vAlign w:val="bottom"/>
            <w:tcBorders>
              <w:lef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ed Other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74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Noncontr</w:t>
            </w:r>
          </w:p>
        </w:tc>
        <w:tc>
          <w:tcPr>
            <w:tcW w:w="120" w:type="dxa"/>
            <w:vAlign w:val="bottom"/>
            <w:tcBorders>
              <w:lef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7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Comprehe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olling</w:t>
            </w:r>
          </w:p>
        </w:tc>
        <w:tc>
          <w:tcPr>
            <w:tcW w:w="120" w:type="dxa"/>
            <w:vAlign w:val="bottom"/>
            <w:tcBorders>
              <w:lef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7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nsive Gain</w:t>
            </w:r>
          </w:p>
        </w:tc>
        <w:tc>
          <w:tcPr>
            <w:tcW w:w="8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Accumulat</w:t>
            </w:r>
          </w:p>
        </w:tc>
        <w:tc>
          <w:tcPr>
            <w:tcW w:w="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w:t>
            </w: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00" w:type="dxa"/>
            <w:vAlign w:val="bottom"/>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6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7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ed Deficit</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4"/>
              </w:rPr>
              <w:t>s' Deficit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5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1,311,9</w:t>
            </w:r>
          </w:p>
        </w:tc>
        <w:tc>
          <w:tcPr>
            <w:tcW w:w="200" w:type="dxa"/>
            <w:vAlign w:val="bottom"/>
            <w:shd w:val="clear" w:color="auto" w:fill="CFF0FC"/>
          </w:tcPr>
          <w:p>
            <w:pPr>
              <w:spacing w:after="0"/>
              <w:rPr>
                <w:sz w:val="8"/>
                <w:szCs w:val="8"/>
                <w:color w:val="auto"/>
              </w:rPr>
            </w:pPr>
          </w:p>
        </w:tc>
        <w:tc>
          <w:tcPr>
            <w:tcW w:w="120" w:type="dxa"/>
            <w:vAlign w:val="bottom"/>
            <w:tcBorders>
              <w:left w:val="single" w:sz="8" w:color="auto"/>
            </w:tcBorders>
            <w:shd w:val="clear" w:color="auto" w:fill="CFF0FC"/>
          </w:tcPr>
          <w:p>
            <w:pPr>
              <w:spacing w:after="0"/>
              <w:rPr>
                <w:sz w:val="8"/>
                <w:szCs w:val="8"/>
                <w:color w:val="auto"/>
              </w:rPr>
            </w:pPr>
          </w:p>
        </w:tc>
        <w:tc>
          <w:tcPr>
            <w:tcW w:w="6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141,807,2</w:t>
            </w:r>
          </w:p>
        </w:tc>
        <w:tc>
          <w:tcPr>
            <w:tcW w:w="2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92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159,262,77</w:t>
            </w: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(1,269,83</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as of January 1, 2026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00" w:type="dxa"/>
            <w:vAlign w:val="bottom"/>
            <w:shd w:val="clear" w:color="auto" w:fill="CFF0FC"/>
          </w:tcPr>
          <w:p>
            <w:pPr>
              <w:spacing w:after="0"/>
              <w:rPr>
                <w:sz w:val="14"/>
                <w:szCs w:val="14"/>
                <w:color w:val="auto"/>
              </w:rPr>
            </w:pPr>
          </w:p>
        </w:tc>
        <w:tc>
          <w:tcPr>
            <w:tcW w:w="120" w:type="dxa"/>
            <w:vAlign w:val="bottom"/>
            <w:tcBorders>
              <w:left w:val="single" w:sz="8" w:color="auto"/>
            </w:tcBorders>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46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258,552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0"/>
                <w:szCs w:val="10"/>
                <w:color w:val="auto"/>
              </w:rPr>
              <w:t>5</w:t>
            </w:r>
            <w:r>
              <w:rPr>
                <w:rFonts w:ascii="Times New Roman" w:cs="Times New Roman" w:eastAsia="Times New Roman" w:hAnsi="Times New Roman"/>
                <w:sz w:val="18"/>
                <w:szCs w:val="18"/>
                <w:color w:val="auto"/>
                <w:vertAlign w:val="superscript"/>
              </w:rPr>
              <w:t>)</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(1,011,197)</w:t>
            </w:r>
          </w:p>
        </w:tc>
        <w:tc>
          <w:tcPr>
            <w:tcW w:w="0" w:type="dxa"/>
            <w:vAlign w:val="bottom"/>
          </w:tcPr>
          <w:p>
            <w:pPr>
              <w:spacing w:after="0"/>
              <w:rPr>
                <w:sz w:val="1"/>
                <w:szCs w:val="1"/>
                <w:color w:val="auto"/>
              </w:rPr>
            </w:pPr>
          </w:p>
        </w:tc>
      </w:tr>
      <w:tr>
        <w:trPr>
          <w:trHeight w:val="135"/>
        </w:trPr>
        <w:tc>
          <w:tcPr>
            <w:tcW w:w="35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146</w:t>
            </w:r>
          </w:p>
        </w:tc>
        <w:tc>
          <w:tcPr>
            <w:tcW w:w="200" w:type="dxa"/>
            <w:vAlign w:val="bottom"/>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4,799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4,799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Issuance of Class A common stock, net of offering costs</w:t>
            </w: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auto"/>
            </w:tcBorders>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2,798</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Vesting of Class B restricted stock rights</w:t>
            </w:r>
          </w:p>
        </w:tc>
        <w:tc>
          <w:tcPr>
            <w:tcW w:w="8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auto"/>
            </w:tcBorders>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723,163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Exchange of Class B common stock for Class A common stock</w:t>
            </w: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20" w:type="dxa"/>
            <w:vAlign w:val="bottom"/>
            <w:tcBorders>
              <w:left w:val="single" w:sz="8" w:color="auto"/>
            </w:tcBorders>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12,608</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(12,608)</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8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auto"/>
            </w:tcBorders>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157,960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5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Impact of equity transactions on redeemable noncontrolling</w:t>
            </w: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left w:val="single" w:sz="8" w:color="auto"/>
            </w:tcBorders>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interest</w:t>
            </w: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(2,515)</w:t>
            </w:r>
          </w:p>
        </w:tc>
        <w:tc>
          <w:tcPr>
            <w:tcW w:w="120" w:type="dxa"/>
            <w:vAlign w:val="bottom"/>
            <w:tcBorders>
              <w:left w:val="single" w:sz="8" w:color="auto"/>
            </w:tcBorders>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Unrealized loss on marketable securities</w:t>
            </w:r>
          </w:p>
        </w:tc>
        <w:tc>
          <w:tcPr>
            <w:tcW w:w="8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(123)</w:t>
            </w:r>
          </w:p>
        </w:tc>
        <w:tc>
          <w:tcPr>
            <w:tcW w:w="120" w:type="dxa"/>
            <w:vAlign w:val="bottom"/>
            <w:tcBorders>
              <w:left w:val="single" w:sz="8" w:color="auto"/>
            </w:tcBorders>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135"/>
        </w:trPr>
        <w:tc>
          <w:tcPr>
            <w:tcW w:w="3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(22,584)</w:t>
            </w:r>
          </w:p>
        </w:tc>
        <w:tc>
          <w:tcPr>
            <w:tcW w:w="120" w:type="dxa"/>
            <w:vAlign w:val="bottom"/>
            <w:tcBorders>
              <w:left w:val="single" w:sz="8" w:color="auto"/>
            </w:tcBorders>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(20,037)</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(20,037)</w:t>
            </w:r>
          </w:p>
        </w:tc>
        <w:tc>
          <w:tcPr>
            <w:tcW w:w="0" w:type="dxa"/>
            <w:vAlign w:val="bottom"/>
          </w:tcPr>
          <w:p>
            <w:pPr>
              <w:spacing w:after="0"/>
              <w:rPr>
                <w:sz w:val="1"/>
                <w:szCs w:val="1"/>
                <w:color w:val="auto"/>
              </w:rPr>
            </w:pPr>
          </w:p>
        </w:tc>
      </w:tr>
      <w:tr>
        <w:trPr>
          <w:trHeight w:val="110"/>
        </w:trPr>
        <w:tc>
          <w:tcPr>
            <w:tcW w:w="35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as of March 31, 2026</w:t>
            </w: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1,286,8</w:t>
            </w:r>
          </w:p>
        </w:tc>
        <w:tc>
          <w:tcPr>
            <w:tcW w:w="200" w:type="dxa"/>
            <w:vAlign w:val="bottom"/>
          </w:tcPr>
          <w:p>
            <w:pPr>
              <w:spacing w:after="0"/>
              <w:rPr>
                <w:sz w:val="9"/>
                <w:szCs w:val="9"/>
                <w:color w:val="auto"/>
              </w:rPr>
            </w:pPr>
          </w:p>
        </w:tc>
        <w:tc>
          <w:tcPr>
            <w:tcW w:w="120" w:type="dxa"/>
            <w:vAlign w:val="bottom"/>
            <w:tcBorders>
              <w:left w:val="single" w:sz="8" w:color="auto"/>
            </w:tcBorders>
          </w:tcPr>
          <w:p>
            <w:pPr>
              <w:spacing w:after="0"/>
              <w:rPr>
                <w:sz w:val="9"/>
                <w:szCs w:val="9"/>
                <w:color w:val="auto"/>
              </w:rPr>
            </w:pPr>
          </w:p>
        </w:tc>
        <w:tc>
          <w:tcPr>
            <w:tcW w:w="6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141,980,6</w:t>
            </w:r>
          </w:p>
        </w:tc>
        <w:tc>
          <w:tcPr>
            <w:tcW w:w="2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159,973,33</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(1,289,87</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580" w:type="dxa"/>
            <w:vAlign w:val="bottom"/>
            <w:vMerge w:val="continue"/>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200" w:type="dxa"/>
            <w:vAlign w:val="bottom"/>
          </w:tcPr>
          <w:p>
            <w:pPr>
              <w:spacing w:after="0"/>
              <w:rPr>
                <w:sz w:val="9"/>
                <w:szCs w:val="9"/>
                <w:color w:val="auto"/>
              </w:rPr>
            </w:pPr>
          </w:p>
        </w:tc>
        <w:tc>
          <w:tcPr>
            <w:tcW w:w="120" w:type="dxa"/>
            <w:vAlign w:val="bottom"/>
            <w:tcBorders>
              <w:left w:val="single" w:sz="8" w:color="auto"/>
            </w:tcBorders>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46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266,112</w:t>
            </w:r>
          </w:p>
        </w:tc>
        <w:tc>
          <w:tcPr>
            <w:tcW w:w="20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(53)</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(1,023,783)</w:t>
            </w:r>
          </w:p>
        </w:tc>
        <w:tc>
          <w:tcPr>
            <w:tcW w:w="0" w:type="dxa"/>
            <w:vAlign w:val="bottom"/>
          </w:tcPr>
          <w:p>
            <w:pPr>
              <w:spacing w:after="0"/>
              <w:rPr>
                <w:sz w:val="1"/>
                <w:szCs w:val="1"/>
                <w:color w:val="auto"/>
              </w:rPr>
            </w:pPr>
          </w:p>
        </w:tc>
      </w:tr>
      <w:tr>
        <w:trPr>
          <w:trHeight w:val="43"/>
        </w:trPr>
        <w:tc>
          <w:tcPr>
            <w:tcW w:w="35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left w:val="single" w:sz="8" w:color="auto"/>
            </w:tcBorders>
          </w:tcPr>
          <w:p>
            <w:pPr>
              <w:spacing w:after="0"/>
              <w:rPr>
                <w:sz w:val="3"/>
                <w:szCs w:val="3"/>
                <w:color w:val="auto"/>
              </w:rPr>
            </w:pPr>
          </w:p>
        </w:tc>
        <w:tc>
          <w:tcPr>
            <w:tcW w:w="680" w:type="dxa"/>
            <w:vAlign w:val="bottom"/>
            <w:vMerge w:val="continue"/>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and Stockholders’ Deficit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9"/>
          </w:tcPr>
          <w:p>
            <w:pPr>
              <w:ind w:left="140"/>
              <w:spacing w:after="0"/>
              <w:rPr>
                <w:sz w:val="20"/>
                <w:szCs w:val="20"/>
                <w:color w:val="auto"/>
              </w:rPr>
            </w:pPr>
            <w:r>
              <w:rPr>
                <w:rFonts w:ascii="Times New Roman" w:cs="Times New Roman" w:eastAsia="Times New Roman" w:hAnsi="Times New Roman"/>
                <w:sz w:val="13"/>
                <w:szCs w:val="13"/>
                <w:b w:val="1"/>
                <w:bCs w:val="1"/>
                <w:color w:val="auto"/>
                <w:w w:val="99"/>
              </w:rPr>
              <w:t>For The Three Months Ended March 31, 2025</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Class A Common Stock</w:t>
            </w:r>
          </w:p>
        </w:tc>
        <w:tc>
          <w:tcPr>
            <w:tcW w:w="200" w:type="dxa"/>
            <w:vAlign w:val="bottom"/>
          </w:tcPr>
          <w:p>
            <w:pPr>
              <w:spacing w:after="0"/>
              <w:rPr>
                <w:sz w:val="13"/>
                <w:szCs w:val="13"/>
                <w:color w:val="auto"/>
              </w:rPr>
            </w:pPr>
          </w:p>
        </w:tc>
        <w:tc>
          <w:tcPr>
            <w:tcW w:w="1460" w:type="dxa"/>
            <w:vAlign w:val="bottom"/>
            <w:gridSpan w:val="4"/>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Accumula</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3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ted Other</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106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106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nsive Gain</w:t>
            </w:r>
          </w:p>
        </w:tc>
        <w:tc>
          <w:tcPr>
            <w:tcW w:w="7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Accumulat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55"/>
        </w:trPr>
        <w:tc>
          <w:tcPr>
            <w:tcW w:w="34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6"/>
              </w:rPr>
              <w:t>ng Interest</w:t>
            </w:r>
          </w:p>
        </w:tc>
        <w:tc>
          <w:tcPr>
            <w:tcW w:w="320" w:type="dxa"/>
            <w:vAlign w:val="bottom"/>
            <w:gridSpan w:val="2"/>
          </w:tcPr>
          <w:p>
            <w:pPr>
              <w:spacing w:after="0"/>
              <w:rPr>
                <w:sz w:val="13"/>
                <w:szCs w:val="13"/>
                <w:color w:val="auto"/>
              </w:rPr>
            </w:pPr>
          </w:p>
        </w:tc>
        <w:tc>
          <w:tcPr>
            <w:tcW w:w="6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6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Pr>
          <w:p>
            <w:pPr>
              <w:spacing w:after="0"/>
              <w:rPr>
                <w:sz w:val="13"/>
                <w:szCs w:val="13"/>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ed Deficit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4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as of January 1, 2025</w:t>
            </w:r>
          </w:p>
        </w:tc>
        <w:tc>
          <w:tcPr>
            <w:tcW w:w="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128,054,4</w:t>
            </w: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163,693,7</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(1,200,84</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460" w:type="dxa"/>
            <w:vAlign w:val="bottom"/>
            <w:tcBorders>
              <w:bottom w:val="single" w:sz="8" w:color="CFF0FC"/>
            </w:tcBorders>
            <w:vMerge w:val="continue"/>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1,396,591</w:t>
            </w:r>
          </w:p>
        </w:tc>
        <w:tc>
          <w:tcPr>
            <w:tcW w:w="220" w:type="dxa"/>
            <w:vAlign w:val="bottom"/>
            <w:tcBorders>
              <w:bottom w:val="single" w:sz="8" w:color="CFF0FC"/>
              <w:right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17</w:t>
            </w:r>
          </w:p>
        </w:tc>
        <w:tc>
          <w:tcPr>
            <w:tcW w:w="440" w:type="dxa"/>
            <w:vAlign w:val="bottom"/>
            <w:tcBorders>
              <w:bottom w:val="single" w:sz="8" w:color="CFF0FC"/>
            </w:tcBorders>
            <w:gridSpan w:val="2"/>
            <w:shd w:val="clear" w:color="auto" w:fill="CFF0FC"/>
          </w:tcPr>
          <w:p>
            <w:pPr>
              <w:jc w:val="right"/>
              <w:ind w:right="97"/>
              <w:spacing w:after="0" w:line="133"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13</w:t>
            </w:r>
          </w:p>
        </w:tc>
        <w:tc>
          <w:tcPr>
            <w:tcW w:w="860" w:type="dxa"/>
            <w:vAlign w:val="bottom"/>
            <w:tcBorders>
              <w:bottom w:val="single" w:sz="8" w:color="CFF0FC"/>
            </w:tcBorders>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07</w:t>
            </w: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16</w:t>
            </w:r>
          </w:p>
        </w:tc>
        <w:tc>
          <w:tcPr>
            <w:tcW w:w="300" w:type="dxa"/>
            <w:vAlign w:val="bottom"/>
            <w:tcBorders>
              <w:bottom w:val="single" w:sz="8" w:color="CFF0FC"/>
            </w:tcBorders>
            <w:gridSpan w:val="2"/>
            <w:shd w:val="clear" w:color="auto" w:fill="CFF0FC"/>
          </w:tcPr>
          <w:p>
            <w:pPr>
              <w:ind w:left="220"/>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205,736</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130</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FF0FC"/>
            </w:tcBorders>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9)</w:t>
            </w:r>
          </w:p>
        </w:tc>
        <w:tc>
          <w:tcPr>
            <w:tcW w:w="160" w:type="dxa"/>
            <w:vAlign w:val="bottom"/>
            <w:tcBorders>
              <w:bottom w:val="single" w:sz="8" w:color="CFF0FC"/>
            </w:tcBorders>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FF0FC"/>
            </w:tcBorders>
            <w:gridSpan w:val="2"/>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(994,954)</w:t>
            </w:r>
          </w:p>
        </w:tc>
        <w:tc>
          <w:tcPr>
            <w:tcW w:w="0" w:type="dxa"/>
            <w:vAlign w:val="bottom"/>
          </w:tcPr>
          <w:p>
            <w:pPr>
              <w:spacing w:after="0"/>
              <w:rPr>
                <w:sz w:val="1"/>
                <w:szCs w:val="1"/>
                <w:color w:val="auto"/>
              </w:rPr>
            </w:pPr>
          </w:p>
        </w:tc>
      </w:tr>
      <w:tr>
        <w:trPr>
          <w:trHeight w:val="135"/>
        </w:trPr>
        <w:tc>
          <w:tcPr>
            <w:tcW w:w="3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817</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5,599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Vesting of Class B restricted stock rights</w:t>
            </w:r>
          </w:p>
        </w:tc>
        <w:tc>
          <w:tcPr>
            <w:tcW w:w="60" w:type="dxa"/>
            <w:vAlign w:val="bottom"/>
            <w:shd w:val="clear" w:color="auto" w:fill="CFF0FC"/>
          </w:tcPr>
          <w:p>
            <w:pPr>
              <w:spacing w:after="0"/>
              <w:rPr>
                <w:sz w:val="11"/>
                <w:szCs w:val="11"/>
                <w:color w:val="auto"/>
              </w:rPr>
            </w:pPr>
          </w:p>
        </w:tc>
        <w:tc>
          <w:tcPr>
            <w:tcW w:w="900" w:type="dxa"/>
            <w:vAlign w:val="bottom"/>
            <w:tcBorders>
              <w:right w:val="single" w:sz="8" w:color="auto"/>
            </w:tcBorders>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949,678</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4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Exchange of Class B common stock for Class A common stock</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(1,481,70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4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(2,418)</w:t>
            </w:r>
          </w:p>
        </w:tc>
        <w:tc>
          <w:tcPr>
            <w:tcW w:w="10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1,481,704</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4)</w:t>
            </w:r>
          </w:p>
        </w:tc>
        <w:tc>
          <w:tcPr>
            <w:tcW w:w="6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2,418</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8"/>
                <w:szCs w:val="8"/>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2,418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346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Borders>
              <w:right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3460" w:type="dxa"/>
            <w:vAlign w:val="bottom"/>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Impact of equity transactions on redeemable noncontrolling</w:t>
            </w: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interest</w:t>
            </w:r>
          </w:p>
        </w:tc>
        <w:tc>
          <w:tcPr>
            <w:tcW w:w="60" w:type="dxa"/>
            <w:vAlign w:val="bottom"/>
            <w:shd w:val="clear" w:color="auto" w:fill="CFF0FC"/>
          </w:tcPr>
          <w:p>
            <w:pPr>
              <w:spacing w:after="0"/>
              <w:rPr>
                <w:sz w:val="13"/>
                <w:szCs w:val="13"/>
                <w:color w:val="auto"/>
              </w:rPr>
            </w:pPr>
          </w:p>
        </w:tc>
        <w:tc>
          <w:tcPr>
            <w:tcW w:w="900" w:type="dxa"/>
            <w:vAlign w:val="bottom"/>
            <w:tcBorders>
              <w:right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(5,173)</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5,173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5,173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6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Unrealized loss on marketable securities</w:t>
            </w:r>
          </w:p>
        </w:tc>
        <w:tc>
          <w:tcPr>
            <w:tcW w:w="60" w:type="dxa"/>
            <w:vAlign w:val="bottom"/>
          </w:tcPr>
          <w:p>
            <w:pPr>
              <w:spacing w:after="0"/>
              <w:rPr>
                <w:sz w:val="11"/>
                <w:szCs w:val="11"/>
                <w:color w:val="auto"/>
              </w:rPr>
            </w:pPr>
          </w:p>
        </w:tc>
        <w:tc>
          <w:tcPr>
            <w:tcW w:w="900" w:type="dxa"/>
            <w:vAlign w:val="bottom"/>
            <w:tcBorders>
              <w:right w:val="single" w:sz="8" w:color="auto"/>
            </w:tcBorders>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35"/>
        </w:trPr>
        <w:tc>
          <w:tcPr>
            <w:tcW w:w="346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60" w:type="dxa"/>
            <w:vAlign w:val="bottom"/>
            <w:shd w:val="clear" w:color="auto" w:fill="CFF0FC"/>
          </w:tcPr>
          <w:p>
            <w:pPr>
              <w:spacing w:after="0"/>
              <w:rPr>
                <w:sz w:val="11"/>
                <w:szCs w:val="11"/>
                <w:color w:val="auto"/>
              </w:rPr>
            </w:pPr>
          </w:p>
        </w:tc>
        <w:tc>
          <w:tcPr>
            <w:tcW w:w="900" w:type="dxa"/>
            <w:vAlign w:val="bottom"/>
            <w:tcBorders>
              <w:right w:val="single" w:sz="8" w:color="auto"/>
            </w:tcBorders>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(21,218)</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(16,734)</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(16,734)</w:t>
            </w:r>
          </w:p>
        </w:tc>
        <w:tc>
          <w:tcPr>
            <w:tcW w:w="0" w:type="dxa"/>
            <w:vAlign w:val="bottom"/>
          </w:tcPr>
          <w:p>
            <w:pPr>
              <w:spacing w:after="0"/>
              <w:rPr>
                <w:sz w:val="1"/>
                <w:szCs w:val="1"/>
                <w:color w:val="auto"/>
              </w:rPr>
            </w:pPr>
          </w:p>
        </w:tc>
      </w:tr>
      <w:tr>
        <w:trPr>
          <w:trHeight w:val="110"/>
        </w:trPr>
        <w:tc>
          <w:tcPr>
            <w:tcW w:w="3460" w:type="dxa"/>
            <w:vAlign w:val="bottom"/>
            <w:tcBorders>
              <w:top w:val="single" w:sz="8" w:color="CFF0FC"/>
            </w:tcBorders>
            <w:vMerge w:val="restart"/>
          </w:tcPr>
          <w:p>
            <w:pPr>
              <w:spacing w:after="0"/>
              <w:rPr>
                <w:sz w:val="20"/>
                <w:szCs w:val="20"/>
                <w:color w:val="auto"/>
              </w:rPr>
            </w:pPr>
            <w:r>
              <w:rPr>
                <w:rFonts w:ascii="Times New Roman" w:cs="Times New Roman" w:eastAsia="Times New Roman" w:hAnsi="Times New Roman"/>
                <w:sz w:val="13"/>
                <w:szCs w:val="13"/>
                <w:color w:val="auto"/>
              </w:rPr>
              <w:t>Balance as of March 31, 2025</w:t>
            </w:r>
          </w:p>
        </w:tc>
        <w:tc>
          <w:tcPr>
            <w:tcW w:w="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CFF0FC"/>
              <w:right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129,536,1</w:t>
            </w:r>
          </w:p>
        </w:tc>
        <w:tc>
          <w:tcPr>
            <w:tcW w:w="200" w:type="dxa"/>
            <w:vAlign w:val="bottom"/>
            <w:tcBorders>
              <w:top w:val="single" w:sz="8" w:color="CFF0FC"/>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6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163,161,6</w:t>
            </w:r>
          </w:p>
        </w:tc>
        <w:tc>
          <w:tcPr>
            <w:tcW w:w="2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(1,217,58</w:t>
            </w: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460" w:type="dxa"/>
            <w:vAlign w:val="bottom"/>
            <w:vMerge w:val="continue"/>
          </w:tcPr>
          <w:p>
            <w:pPr>
              <w:spacing w:after="0"/>
              <w:rPr>
                <w:sz w:val="9"/>
                <w:szCs w:val="9"/>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1,368,530</w:t>
            </w: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44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220" w:type="dxa"/>
            <w:vAlign w:val="bottom"/>
          </w:tcPr>
          <w:p>
            <w:pPr>
              <w:spacing w:after="0"/>
              <w:rPr>
                <w:sz w:val="9"/>
                <w:szCs w:val="9"/>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218,926</w:t>
            </w:r>
          </w:p>
        </w:tc>
        <w:tc>
          <w:tcPr>
            <w:tcW w:w="220" w:type="dxa"/>
            <w:vAlign w:val="bottom"/>
          </w:tcPr>
          <w:p>
            <w:pPr>
              <w:spacing w:after="0"/>
              <w:rPr>
                <w:sz w:val="9"/>
                <w:szCs w:val="9"/>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20" w:type="dxa"/>
            <w:vAlign w:val="bottom"/>
          </w:tcPr>
          <w:p>
            <w:pPr>
              <w:spacing w:after="0"/>
              <w:rPr>
                <w:sz w:val="9"/>
                <w:szCs w:val="9"/>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(998,553)</w:t>
            </w:r>
          </w:p>
        </w:tc>
        <w:tc>
          <w:tcPr>
            <w:tcW w:w="0" w:type="dxa"/>
            <w:vAlign w:val="bottom"/>
          </w:tcPr>
          <w:p>
            <w:pPr>
              <w:spacing w:after="0"/>
              <w:rPr>
                <w:sz w:val="1"/>
                <w:szCs w:val="1"/>
                <w:color w:val="auto"/>
              </w:rPr>
            </w:pPr>
          </w:p>
        </w:tc>
      </w:tr>
      <w:tr>
        <w:trPr>
          <w:trHeight w:val="43"/>
        </w:trPr>
        <w:tc>
          <w:tcPr>
            <w:tcW w:w="34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-205105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-205105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-205105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-205105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-205105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-205105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-205105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-205105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362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8"/>
        </w:trPr>
        <w:tc>
          <w:tcPr>
            <w:tcW w:w="76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(42,621)</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(37,952)</w:t>
            </w:r>
          </w:p>
        </w:tc>
        <w:tc>
          <w:tcPr>
            <w:tcW w:w="0" w:type="dxa"/>
            <w:vAlign w:val="bottom"/>
          </w:tcPr>
          <w:p>
            <w:pPr>
              <w:spacing w:after="0"/>
              <w:rPr>
                <w:sz w:val="1"/>
                <w:szCs w:val="1"/>
                <w:color w:val="auto"/>
              </w:rPr>
            </w:pPr>
          </w:p>
        </w:tc>
      </w:tr>
      <w:tr>
        <w:trPr>
          <w:trHeight w:val="198"/>
        </w:trPr>
        <w:tc>
          <w:tcPr>
            <w:tcW w:w="7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before noncontrolling interest to net cash flows used</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 operating activities:</w:t>
            </w: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marketable securities, net</w:t>
            </w:r>
          </w:p>
        </w:tc>
        <w:tc>
          <w:tcPr>
            <w:tcW w:w="10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10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Interest receivable</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(5,957)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(5,902)</w:t>
            </w:r>
          </w:p>
        </w:tc>
        <w:tc>
          <w:tcPr>
            <w:tcW w:w="0" w:type="dxa"/>
            <w:vAlign w:val="bottom"/>
          </w:tcPr>
          <w:p>
            <w:pPr>
              <w:spacing w:after="0"/>
              <w:rPr>
                <w:sz w:val="1"/>
                <w:szCs w:val="1"/>
                <w:color w:val="auto"/>
              </w:rPr>
            </w:pPr>
          </w:p>
        </w:tc>
      </w:tr>
      <w:tr>
        <w:trPr>
          <w:trHeight w:val="216"/>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0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(41,684)</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(29,592)</w:t>
            </w:r>
          </w:p>
        </w:tc>
        <w:tc>
          <w:tcPr>
            <w:tcW w:w="0" w:type="dxa"/>
            <w:vAlign w:val="bottom"/>
          </w:tcPr>
          <w:p>
            <w:pPr>
              <w:spacing w:after="0"/>
              <w:rPr>
                <w:sz w:val="1"/>
                <w:szCs w:val="1"/>
                <w:color w:val="auto"/>
              </w:rPr>
            </w:pPr>
          </w:p>
        </w:tc>
      </w:tr>
      <w:tr>
        <w:trPr>
          <w:trHeight w:val="43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(44,754)</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(55,449)</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equipment and facility expansion</w:t>
            </w:r>
          </w:p>
        </w:tc>
        <w:tc>
          <w:tcPr>
            <w:tcW w:w="10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(3,785)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28"/>
        </w:trPr>
        <w:tc>
          <w:tcPr>
            <w:tcW w:w="7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flows provided by investing activities</w:t>
            </w:r>
          </w:p>
        </w:tc>
        <w:tc>
          <w:tcPr>
            <w:tcW w:w="10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34,827</w:t>
            </w:r>
          </w:p>
        </w:tc>
        <w:tc>
          <w:tcPr>
            <w:tcW w:w="18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28,289</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Class A common stock, net of offering costs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10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10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(6,642)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108,537</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101,895</w:t>
            </w:r>
          </w:p>
        </w:tc>
        <w:tc>
          <w:tcPr>
            <w:tcW w:w="180" w:type="dxa"/>
            <w:vAlign w:val="bottom"/>
          </w:tcPr>
          <w:p>
            <w:pPr>
              <w:spacing w:after="0"/>
              <w:rPr>
                <w:sz w:val="18"/>
                <w:szCs w:val="18"/>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20" w:type="dxa"/>
            <w:vAlign w:val="bottom"/>
            <w:tcBorders>
              <w:bottom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Exchange of Class B common stock</w:t>
            </w:r>
          </w:p>
        </w:tc>
        <w:tc>
          <w:tcPr>
            <w:tcW w:w="1000" w:type="dxa"/>
            <w:vAlign w:val="bottom"/>
            <w:tcBorders>
              <w:bottom w:val="single" w:sz="8" w:color="auto"/>
            </w:tcBorders>
            <w:shd w:val="clear" w:color="auto" w:fill="CFF0FC"/>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2,418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6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Impact of equity transactions and compensation on redeemable noncontrolling interest</w:t>
            </w:r>
          </w:p>
        </w:tc>
        <w:tc>
          <w:tcPr>
            <w:tcW w:w="1000" w:type="dxa"/>
            <w:vAlign w:val="bottom"/>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2,366</w:t>
            </w:r>
          </w:p>
        </w:tc>
        <w:tc>
          <w:tcPr>
            <w:tcW w:w="180" w:type="dxa"/>
            <w:vAlign w:val="bottom"/>
          </w:tcPr>
          <w:p>
            <w:pPr>
              <w:spacing w:after="0"/>
              <w:rPr>
                <w:sz w:val="17"/>
                <w:szCs w:val="17"/>
                <w:color w:val="auto"/>
              </w:rPr>
            </w:pPr>
          </w:p>
        </w:tc>
        <w:tc>
          <w:tcPr>
            <w:tcW w:w="46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620" w:type="dxa"/>
            <w:vAlign w:val="bottom"/>
            <w:shd w:val="clear" w:color="auto" w:fill="CFF0FC"/>
          </w:tcPr>
          <w:p>
            <w:pPr>
              <w:ind w:left="140"/>
              <w:spacing w:after="0" w:line="178" w:lineRule="exact"/>
              <w:rPr>
                <w:sz w:val="20"/>
                <w:szCs w:val="20"/>
                <w:color w:val="auto"/>
              </w:rPr>
            </w:pPr>
            <w:r>
              <w:rPr>
                <w:rFonts w:ascii="Times New Roman" w:cs="Times New Roman" w:eastAsia="Times New Roman" w:hAnsi="Times New Roman"/>
                <w:sz w:val="18"/>
                <w:szCs w:val="18"/>
                <w:color w:val="auto"/>
              </w:rPr>
              <w:t>Equipment and facility expansion included in accounts payable and</w:t>
            </w:r>
          </w:p>
        </w:tc>
        <w:tc>
          <w:tcPr>
            <w:tcW w:w="1000" w:type="dxa"/>
            <w:vAlign w:val="bottom"/>
            <w:vMerge w:val="restart"/>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8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spacing w:after="0"/>
              <w:rPr>
                <w:sz w:val="15"/>
                <w:szCs w:val="15"/>
                <w:color w:val="auto"/>
              </w:rPr>
            </w:pP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20" w:type="dxa"/>
            <w:vAlign w:val="bottom"/>
            <w:tcBorders>
              <w:bottom w:val="single" w:sz="8" w:color="CFF0FC"/>
            </w:tcBorders>
            <w:shd w:val="clear" w:color="auto" w:fill="CFF0FC"/>
          </w:tcPr>
          <w:p>
            <w:pPr>
              <w:ind w:left="280"/>
              <w:spacing w:after="0" w:line="194" w:lineRule="exact"/>
              <w:rPr>
                <w:sz w:val="20"/>
                <w:szCs w:val="20"/>
                <w:color w:val="auto"/>
              </w:rPr>
            </w:pPr>
            <w:r>
              <w:rPr>
                <w:rFonts w:ascii="Times New Roman" w:cs="Times New Roman" w:eastAsia="Times New Roman" w:hAnsi="Times New Roman"/>
                <w:sz w:val="18"/>
                <w:szCs w:val="18"/>
                <w:color w:val="auto"/>
              </w:rPr>
              <w:t>accrued expenses</w:t>
            </w: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360" w:type="dxa"/>
            <w:vAlign w:val="bottom"/>
            <w:tcBorders>
              <w:bottom w:val="single" w:sz="8" w:color="auto"/>
            </w:tcBorders>
            <w:vMerge w:val="continue"/>
            <w:shd w:val="clear" w:color="auto" w:fill="CFF0FC"/>
          </w:tcPr>
          <w:p>
            <w:pPr>
              <w:spacing w:after="0"/>
              <w:rPr>
                <w:sz w:val="20"/>
                <w:szCs w:val="20"/>
                <w:color w:val="auto"/>
              </w:rPr>
            </w:pPr>
          </w:p>
        </w:tc>
        <w:tc>
          <w:tcPr>
            <w:tcW w:w="12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-2596515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-1765300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-1207770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-462280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-445135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ProKidney Corp. (the “Company”, “ProKidney Delaware” or “ProKidney”) was originally incorporated as Social Capital Suvretta Holdings Corp.</w:t>
      </w:r>
    </w:p>
    <w:p>
      <w:pPr>
        <w:spacing w:after="0" w:line="27" w:lineRule="exact"/>
        <w:rPr>
          <w:sz w:val="20"/>
          <w:szCs w:val="20"/>
          <w:color w:val="auto"/>
        </w:rPr>
      </w:pPr>
    </w:p>
    <w:p>
      <w:pPr>
        <w:ind w:right="180" w:firstLine="8"/>
        <w:spacing w:after="0" w:line="255" w:lineRule="auto"/>
        <w:tabs>
          <w:tab w:leader="none" w:pos="2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(“SCS”). SCS was a blank check company incorporated as a Cayman Islands exempted company on February 25, 2021. SCS was incorporated for the purpose of effecting a merger, share exchange, asset acquisition, share purchase, reorganization or similar business combination with one or more businesses.</w:t>
      </w:r>
    </w:p>
    <w:p>
      <w:pPr>
        <w:spacing w:after="0" w:line="78" w:lineRule="exact"/>
        <w:rPr>
          <w:sz w:val="20"/>
          <w:szCs w:val="20"/>
          <w:color w:val="auto"/>
        </w:rPr>
      </w:pPr>
    </w:p>
    <w:p>
      <w:pPr>
        <w:ind w:right="20" w:firstLine="524"/>
        <w:spacing w:after="0" w:line="256" w:lineRule="auto"/>
        <w:rPr>
          <w:sz w:val="20"/>
          <w:szCs w:val="20"/>
          <w:color w:val="auto"/>
        </w:rPr>
      </w:pPr>
      <w:r>
        <w:rPr>
          <w:rFonts w:ascii="Times New Roman" w:cs="Times New Roman" w:eastAsia="Times New Roman" w:hAnsi="Times New Roman"/>
          <w:sz w:val="18"/>
          <w:szCs w:val="18"/>
          <w:color w:val="auto"/>
        </w:rPr>
        <w:t>On January 18, 2022, SCS executed a definitive business combination agreement (the “Business Combination Agreement”), with ProKidney LP (“PKLP”), a limited partnership under the laws and regulations of Ireland. Pursuant to the terms of the Business Combination Agreement, PKLP became a subsidiary of SCS and was organized in an umbrella partnership corporation (“Up-C”) structure, which would provide potential future tax benefits for SCS when the equity holders ultimately exchanged their pass-through interests for Class A common stock. The business combination between SCS and PKLP (the “Business Combination”) closed (the “Closing”) on July 11, 2022 (the “Closing Date”). Upon consummation of the transaction, SCS changed its name to ProKidney Corp.</w:t>
      </w:r>
    </w:p>
    <w:p>
      <w:pPr>
        <w:spacing w:after="0" w:line="79" w:lineRule="exact"/>
        <w:rPr>
          <w:sz w:val="20"/>
          <w:szCs w:val="20"/>
          <w:color w:val="auto"/>
        </w:rPr>
      </w:pPr>
    </w:p>
    <w:p>
      <w:pPr>
        <w:ind w:firstLine="524"/>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transaction between entities under common control, through which PKLP was considered the accounting acquiror and predecessor entity. The Business Combination was reflected as the equivalent of PKLP issuing stock for the net assets of SCS accompanied by a recapitalization with no goodwill or intangible assets recognized.</w:t>
      </w:r>
    </w:p>
    <w:p>
      <w:pPr>
        <w:spacing w:after="0" w:line="68" w:lineRule="exact"/>
        <w:rPr>
          <w:sz w:val="20"/>
          <w:szCs w:val="20"/>
          <w:color w:val="auto"/>
        </w:rPr>
      </w:pPr>
    </w:p>
    <w:p>
      <w:pPr>
        <w:ind w:right="20" w:firstLine="524"/>
        <w:spacing w:after="0" w:line="254" w:lineRule="auto"/>
        <w:rPr>
          <w:sz w:val="20"/>
          <w:szCs w:val="20"/>
          <w:color w:val="auto"/>
        </w:rPr>
      </w:pPr>
      <w:r>
        <w:rPr>
          <w:rFonts w:ascii="Times New Roman" w:cs="Times New Roman" w:eastAsia="Times New Roman" w:hAnsi="Times New Roman"/>
          <w:sz w:val="18"/>
          <w:szCs w:val="18"/>
          <w:color w:val="auto"/>
        </w:rPr>
        <w:t>Effective July 1, 2025 (the “Domestication Date”), ProKidney Corp., the Cayman Islands exempted company (“ProKidney Cayman”) completed a domestication process through which it changed its jurisdiction of incorporation from the Cayman Islands to the State of Delaware (the “Domestication”). In connection with the Domestication, the Company also completed certain other restructuring transactions (such transactions, together with the Domestication, the “Restructuring”) on the Domestication Date. Prior to the Restructuring, ProKidney Cayman conducted its business indirectly through PKLP and its subsidiaries. Immediately following the Domestication, ProKidney (“ProKidney-KY”), then a wholly owned subsidiary of PK Holdings and a Cayman Islands exempted company, domesticated and continued for purposes of the Delaware Limited Liability Company Act as a Delaware limited liability company named ProKidney IPCo, LLC (“ProKidney IPCo.”). As a result of the consummation of the Domestication and the other transactions involved in the Restructuring, the Company and the other former limited partners of PKLP are now members of ProKidney Holdings, LLC, a Delaware limited liability company (“PK Holdings”), and PK Holdings owns all of the subsidiaries that conduct the Company’s business, including ProKidney IPCo.</w:t>
      </w:r>
    </w:p>
    <w:p>
      <w:pPr>
        <w:spacing w:after="0" w:line="80" w:lineRule="exact"/>
        <w:rPr>
          <w:sz w:val="20"/>
          <w:szCs w:val="20"/>
          <w:color w:val="auto"/>
        </w:rPr>
      </w:pPr>
    </w:p>
    <w:p>
      <w:pPr>
        <w:ind w:firstLine="524"/>
        <w:spacing w:after="0" w:line="266" w:lineRule="auto"/>
        <w:rPr>
          <w:sz w:val="20"/>
          <w:szCs w:val="20"/>
          <w:color w:val="auto"/>
        </w:rPr>
      </w:pPr>
      <w:r>
        <w:rPr>
          <w:rFonts w:ascii="Times New Roman" w:cs="Times New Roman" w:eastAsia="Times New Roman" w:hAnsi="Times New Roman"/>
          <w:sz w:val="18"/>
          <w:szCs w:val="18"/>
          <w:color w:val="auto"/>
        </w:rPr>
        <w:t>After completing the Domestication and other Restructuring transactions, the Company also underwent a series of transactions to streamline its operating subsidiaries from a tax perspective (the “Post-Domestication Reorganization”). The Post-Domestication Reorganization was finalized effective as of September 1, 2025.</w:t>
      </w:r>
    </w:p>
    <w:p>
      <w:pPr>
        <w:spacing w:after="0" w:line="68" w:lineRule="exact"/>
        <w:rPr>
          <w:sz w:val="20"/>
          <w:szCs w:val="20"/>
          <w:color w:val="auto"/>
        </w:rPr>
      </w:pPr>
    </w:p>
    <w:p>
      <w:pPr>
        <w:ind w:right="320" w:firstLine="524"/>
        <w:spacing w:after="0" w:line="266" w:lineRule="auto"/>
        <w:rPr>
          <w:sz w:val="20"/>
          <w:szCs w:val="20"/>
          <w:color w:val="auto"/>
        </w:rPr>
      </w:pPr>
      <w:r>
        <w:rPr>
          <w:rFonts w:ascii="Times New Roman" w:cs="Times New Roman" w:eastAsia="Times New Roman" w:hAnsi="Times New Roman"/>
          <w:sz w:val="18"/>
          <w:szCs w:val="18"/>
          <w:color w:val="auto"/>
        </w:rPr>
        <w:t>The Domestication represents a transaction between entities under common control. Assets and liabilities transferred between entities under common control are accounted for at cost. Accordingly, the assets and liabilities of ProKidney Corp. (Delaware) and its subsidiaries will be reflected at their historical carrying amounts of ProKidney Corp. (Cayman) as of the Domestication Date.</w:t>
      </w:r>
    </w:p>
    <w:p>
      <w:pPr>
        <w:spacing w:after="0" w:line="68" w:lineRule="exact"/>
        <w:rPr>
          <w:sz w:val="20"/>
          <w:szCs w:val="20"/>
          <w:color w:val="auto"/>
        </w:rPr>
      </w:pPr>
    </w:p>
    <w:p>
      <w:pPr>
        <w:ind w:right="20" w:firstLine="524"/>
        <w:spacing w:after="0" w:line="261" w:lineRule="auto"/>
        <w:rPr>
          <w:sz w:val="20"/>
          <w:szCs w:val="20"/>
          <w:color w:val="auto"/>
        </w:rPr>
      </w:pPr>
      <w:r>
        <w:rPr>
          <w:rFonts w:ascii="Times New Roman" w:cs="Times New Roman" w:eastAsia="Times New Roman" w:hAnsi="Times New Roman"/>
          <w:sz w:val="18"/>
          <w:szCs w:val="18"/>
          <w:color w:val="auto"/>
        </w:rPr>
        <w:t>For presentation purposes, unless otherwise noted, references to common stock refer to “ordinary shares” before the Domestication and “common stock” subsequent to the Domestication. Similarly, unless otherwise noted, references to PK Holdings herein refers to PKLP prior to the Domestication and PK Holdings subsequent to the Domestication and references to ProKidney IPCo. herein refer to ProKidney-KY prior to the Domestication and ProKidney IPCo. subsequent to the Domestication.</w:t>
      </w:r>
    </w:p>
    <w:p>
      <w:pPr>
        <w:spacing w:after="0" w:line="72" w:lineRule="exact"/>
        <w:rPr>
          <w:sz w:val="20"/>
          <w:szCs w:val="20"/>
          <w:color w:val="auto"/>
        </w:rPr>
      </w:pPr>
    </w:p>
    <w:p>
      <w:pPr>
        <w:ind w:right="560" w:firstLine="524"/>
        <w:spacing w:after="0" w:line="282" w:lineRule="auto"/>
        <w:rPr>
          <w:sz w:val="20"/>
          <w:szCs w:val="20"/>
          <w:color w:val="auto"/>
        </w:rPr>
      </w:pPr>
      <w:r>
        <w:rPr>
          <w:rFonts w:ascii="Times New Roman" w:cs="Times New Roman" w:eastAsia="Times New Roman" w:hAnsi="Times New Roman"/>
          <w:sz w:val="18"/>
          <w:szCs w:val="18"/>
          <w:color w:val="auto"/>
        </w:rPr>
        <w:t>ProKidney Corp., through its operating subsidiaries, is focused on the development of rilparencel, which has the potential to preserve kidney function in patients with advanced CKD and type 2 diabetes.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firstLine="524"/>
        <w:spacing w:after="0" w:line="253" w:lineRule="auto"/>
        <w:rPr>
          <w:sz w:val="20"/>
          <w:szCs w:val="20"/>
          <w:color w:val="auto"/>
        </w:rPr>
      </w:pPr>
      <w:r>
        <w:rPr>
          <w:rFonts w:ascii="Times New Roman" w:cs="Times New Roman" w:eastAsia="Times New Roman" w:hAnsi="Times New Roman"/>
          <w:sz w:val="18"/>
          <w:szCs w:val="18"/>
          <w:color w:val="auto"/>
        </w:rPr>
        <w:t>ProKidney is a holding company, and its principal asset is a controlling equity interest in PK Holdings and its wholly-owned operating subsidiaries ProKidney IPCo. and ProKidney-US. The Company has determined that PK Holdings is a variable-interest entity for accounting purposes and that ProKidney is the primary beneficiary of PK Holdings because (through its managing member interest in PK Holdings and the fact that the senior management of ProKidney is also the senior management of PK Holdings) it has the power and benefits to direct all of the activities of PK Holdings, which include those that most significantly impact PK Holdings’ economic performance. The Company has therefore consolidated PK Holdings’ results pursuant to Accounting Standards Codification Topic 810, “Consolidation” in its Condensed Consolidated Financial Statements. As of March 31, 2026, various holders own non-voting interests in PK Holdings, representing a 53.0% economic interest in PK Holdings, effectively restricting ProKidney’s interest to 47.0% of PK Holdings’ economic results, subject to increase in the future, should ProKidney purchase additional non-voting common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9" w:name="page10"/>
    <w:bookmarkEnd w:id="9"/>
    <w:p>
      <w:pPr>
        <w:ind w:right="20"/>
        <w:spacing w:after="0" w:line="258" w:lineRule="auto"/>
        <w:rPr>
          <w:sz w:val="20"/>
          <w:szCs w:val="20"/>
          <w:color w:val="auto"/>
        </w:rPr>
      </w:pPr>
      <w:r>
        <w:rPr>
          <w:rFonts w:ascii="Times New Roman" w:cs="Times New Roman" w:eastAsia="Times New Roman" w:hAnsi="Times New Roman"/>
          <w:sz w:val="18"/>
          <w:szCs w:val="18"/>
          <w:color w:val="auto"/>
        </w:rPr>
        <w:t>units (“PK Holdings Units”) of PK Holdings, or should the holders of PK Holdings Units decide to exchange such units (together with shares of Class B common stock) for Class A common stock (or cash) pursuant to the Exchange Agreement (as defined in Note 6). The Company will not be required to provide financial or other support for PK Holdings. However, ProKidney will control its business and other activities through its managing member interest in PK Holdings, and its management is the management of PK Holdings. Nevertheless, because ProKidney will have no material assets other than its interests in PK Holdings and its subsidiaries, any financial difficulties at PK Holdings could result in ProKidney recognizing a loss.</w:t>
      </w:r>
    </w:p>
    <w:p>
      <w:pPr>
        <w:spacing w:after="0" w:line="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All intercompany transactions and balances have been eliminated.</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Statements</w:t>
      </w:r>
    </w:p>
    <w:p>
      <w:pPr>
        <w:spacing w:after="0" w:line="121" w:lineRule="exact"/>
        <w:rPr>
          <w:sz w:val="20"/>
          <w:szCs w:val="20"/>
          <w:color w:val="auto"/>
        </w:rPr>
      </w:pPr>
    </w:p>
    <w:p>
      <w:pPr>
        <w:ind w:right="100" w:firstLine="524"/>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The accompanying Condensed Consolidated Balance Sheet as of March 31, 2026, Condensed Consolidated Statements of Operations for the three months ended March 31, 2026 and 2025, Condensed Consolidated Statements of Comprehensive Loss for the three months ended March 31, 2026 and 2025, Condensed Consolidated Statement of Changes in Redeemable Noncontrolling Interest and Stockholders’ Deficit for the three months ended March 31, 2026 and 2025 and Condensed Consolidated Statements of Cash Flows for the three months ended March 31, 2026 and 2025 are unaudited. These unaudited financial statements have been prepared in accordance with the rules and regulations of the United States Securities and Exchange Commission (the “SEC”) for interim financial information. Accordingly, they do not include all of the information and footnotes required by GAAP for complete financial statements.</w:t>
      </w:r>
    </w:p>
    <w:p>
      <w:pPr>
        <w:spacing w:after="0" w:line="84" w:lineRule="exact"/>
        <w:rPr>
          <w:sz w:val="20"/>
          <w:szCs w:val="20"/>
          <w:color w:val="auto"/>
        </w:rPr>
      </w:pPr>
    </w:p>
    <w:p>
      <w:pPr>
        <w:ind w:right="20" w:firstLine="524"/>
        <w:spacing w:after="0" w:line="255" w:lineRule="auto"/>
        <w:rPr>
          <w:sz w:val="20"/>
          <w:szCs w:val="20"/>
          <w:color w:val="auto"/>
        </w:rPr>
      </w:pPr>
      <w:r>
        <w:rPr>
          <w:rFonts w:ascii="Times New Roman" w:cs="Times New Roman" w:eastAsia="Times New Roman" w:hAnsi="Times New Roman"/>
          <w:sz w:val="18"/>
          <w:szCs w:val="18"/>
          <w:color w:val="auto"/>
        </w:rPr>
        <w:t>The unaudited interim financial statements have been prepared on the same basis as the annual financial statements and, in the opinion of management, reflect all adjustments (consisting of normal recurring adjustments) necessary to state fairly the Company’s financial position as of March 31, 2026, the results of operations for the three months ended March 31, 2026 and 2025 and cash flows for the three months ended March 31, 2026 and 2025. Certain prior year amounts have been reclassified to conform to the current year presentation. The December 31, 2025 Condensed Consolidated Balance Sheet included herein was derived from the audited financial statements but does not include all disclosures or notes required by GAAP for complete financial statements. These financial statements should be read in conjunction with the audited financial statements and the accompanying notes for the year ended December 31, 2025, contained in the Company’s Annual Report on Form 10-K filed with the SEC on March 18, 2026.</w:t>
      </w:r>
    </w:p>
    <w:p>
      <w:pPr>
        <w:spacing w:after="0" w:line="81" w:lineRule="exact"/>
        <w:rPr>
          <w:sz w:val="20"/>
          <w:szCs w:val="20"/>
          <w:color w:val="auto"/>
        </w:rPr>
      </w:pPr>
    </w:p>
    <w:p>
      <w:pPr>
        <w:jc w:val="both"/>
        <w:ind w:right="340" w:firstLine="524"/>
        <w:spacing w:after="0" w:line="266" w:lineRule="auto"/>
        <w:rPr>
          <w:sz w:val="20"/>
          <w:szCs w:val="20"/>
          <w:color w:val="auto"/>
        </w:rPr>
      </w:pPr>
      <w:r>
        <w:rPr>
          <w:rFonts w:ascii="Times New Roman" w:cs="Times New Roman" w:eastAsia="Times New Roman" w:hAnsi="Times New Roman"/>
          <w:sz w:val="18"/>
          <w:szCs w:val="18"/>
          <w:color w:val="auto"/>
        </w:rPr>
        <w:t>Any reference in these notes to applicable guidance is meant to refer to GAAP as found in the Accounting Standards Codification (“ASC”) and Accounting Standards Update (“ASU”) of the Financial Accounting Standards Board (“FASB”). These unaudited consolidated financial statements are presented in U.S. Dollars.</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Interim results are not necessarily indicative of results for an entire year.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accordance with GAAP, requires management to make certain estimates and assumptions that affect the reported amounts of assets and liabilities and disclosure of contingent liabilities at the date of the condensed consolidated financial statements, and the amounts of expenses during the reported periods. Certain estimates in these condensed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and Marketable Securities</w:t>
      </w:r>
    </w:p>
    <w:p>
      <w:pPr>
        <w:spacing w:after="0" w:line="121"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on the date of purchase to be cash equivalents. The carrying value of cash and cash equivalents approximates fair value due to the short-term nature of these items.</w:t>
      </w:r>
    </w:p>
    <w:p>
      <w:pPr>
        <w:spacing w:after="0" w:line="54" w:lineRule="exact"/>
        <w:rPr>
          <w:sz w:val="20"/>
          <w:szCs w:val="20"/>
          <w:color w:val="auto"/>
        </w:rPr>
      </w:pPr>
    </w:p>
    <w:p>
      <w:pPr>
        <w:jc w:val="both"/>
        <w:ind w:right="180" w:firstLine="524"/>
        <w:spacing w:after="0" w:line="266" w:lineRule="auto"/>
        <w:rPr>
          <w:sz w:val="20"/>
          <w:szCs w:val="20"/>
          <w:color w:val="auto"/>
        </w:rPr>
      </w:pPr>
      <w:r>
        <w:rPr>
          <w:rFonts w:ascii="Times New Roman" w:cs="Times New Roman" w:eastAsia="Times New Roman" w:hAnsi="Times New Roman"/>
          <w:sz w:val="18"/>
          <w:szCs w:val="18"/>
          <w:color w:val="auto"/>
        </w:rPr>
        <w:t>The Company’s investments in marketable debt securities have been classified and accounted for as available-for-sale. The Company classifies its marketable debt securities as short-term due to its availability for use in its current operations. The cost of securities sold is determined using the specific identification method.</w:t>
      </w:r>
    </w:p>
    <w:p>
      <w:pPr>
        <w:spacing w:after="0" w:line="68" w:lineRule="exact"/>
        <w:rPr>
          <w:sz w:val="20"/>
          <w:szCs w:val="20"/>
          <w:color w:val="auto"/>
        </w:rPr>
      </w:pPr>
    </w:p>
    <w:p>
      <w:pPr>
        <w:ind w:left="5580" w:right="1380" w:hanging="5046"/>
        <w:spacing w:after="0" w:line="282" w:lineRule="auto"/>
        <w:rPr>
          <w:sz w:val="20"/>
          <w:szCs w:val="20"/>
          <w:color w:val="auto"/>
        </w:rPr>
      </w:pPr>
      <w:r>
        <w:rPr>
          <w:rFonts w:ascii="Times New Roman" w:cs="Times New Roman" w:eastAsia="Times New Roman" w:hAnsi="Times New Roman"/>
          <w:sz w:val="18"/>
          <w:szCs w:val="18"/>
          <w:color w:val="auto"/>
        </w:rPr>
        <w:t>The Company considers all available evidence to evaluate if a credit loss exists, and if so, recognizes an allowance for credit loss.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ind w:right="320" w:firstLine="524"/>
        <w:spacing w:after="0" w:line="282" w:lineRule="auto"/>
        <w:rPr>
          <w:sz w:val="20"/>
          <w:szCs w:val="20"/>
          <w:color w:val="auto"/>
        </w:rPr>
      </w:pPr>
      <w:r>
        <w:rPr>
          <w:rFonts w:ascii="Times New Roman" w:cs="Times New Roman" w:eastAsia="Times New Roman" w:hAnsi="Times New Roman"/>
          <w:sz w:val="18"/>
          <w:szCs w:val="18"/>
          <w:color w:val="auto"/>
        </w:rPr>
        <w:t>Cash and equivalents are the primary financial instruments held by the Company that are potentially subject to concentrations of credit risk. The Company’s cash and equivalents are deposited in accounts at large financial institutions, and such amounts may exceed federally insured limits.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ind w:right="520" w:firstLine="524"/>
        <w:spacing w:after="0" w:line="282" w:lineRule="auto"/>
        <w:rPr>
          <w:sz w:val="20"/>
          <w:szCs w:val="20"/>
          <w:color w:val="auto"/>
        </w:rPr>
      </w:pPr>
      <w:r>
        <w:rPr>
          <w:rFonts w:ascii="Times New Roman" w:cs="Times New Roman" w:eastAsia="Times New Roman" w:hAnsi="Times New Roman"/>
          <w:sz w:val="18"/>
          <w:szCs w:val="18"/>
          <w:color w:val="auto"/>
        </w:rPr>
        <w:t>Accrued expenses as presented in the Condensed Consolidated Balance Sheets as of March 31, 2026 and December 31, 2025 consisted of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00" w:type="dxa"/>
            <w:vAlign w:val="bottom"/>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0"/>
                <w:szCs w:val="20"/>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88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Severance</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study related costs</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14,352</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Facility related costs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costs</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Accrued consulting and professional fees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3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accrued expenses and other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22,231</w:t>
            </w:r>
          </w:p>
        </w:tc>
        <w:tc>
          <w:tcPr>
            <w:tcW w:w="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28,731</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480" w:firstLine="5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w:t>
      </w:r>
    </w:p>
    <w:p>
      <w:pPr>
        <w:spacing w:after="0" w:line="68"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8"/>
          <w:szCs w:val="18"/>
          <w:color w:val="auto"/>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81" w:lineRule="exact"/>
        <w:rPr>
          <w:sz w:val="20"/>
          <w:szCs w:val="20"/>
          <w:color w:val="auto"/>
        </w:rPr>
      </w:pPr>
    </w:p>
    <w:p>
      <w:pPr>
        <w:ind w:right="80" w:firstLine="524"/>
        <w:spacing w:after="0" w:line="266" w:lineRule="auto"/>
        <w:rPr>
          <w:sz w:val="20"/>
          <w:szCs w:val="20"/>
          <w:color w:val="auto"/>
        </w:rPr>
      </w:pPr>
      <w:r>
        <w:rPr>
          <w:rFonts w:ascii="Times New Roman" w:cs="Times New Roman" w:eastAsia="Times New Roman" w:hAnsi="Times New Roman"/>
          <w:sz w:val="18"/>
          <w:szCs w:val="18"/>
          <w:color w:val="auto"/>
        </w:rPr>
        <w:t>The Company records nonrefundable advance payments it makes for future research and development activities as prepaid expenses. Prepaid expenses are recognized as expense in the Condensed Consolidated Statement of Operations and Comprehensive Loss as the Company receives the related goods or services.</w:t>
      </w:r>
    </w:p>
    <w:p>
      <w:pPr>
        <w:spacing w:after="0" w:line="68"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Costs incurred in obtaining technology licenses are charged to research and development expense as purchased in-process research and development if the technology licensed has not reached technological feasibility and has no alternative future use.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Assets</w:t>
      </w:r>
    </w:p>
    <w:p>
      <w:pPr>
        <w:spacing w:after="0" w:line="121" w:lineRule="exact"/>
        <w:rPr>
          <w:sz w:val="20"/>
          <w:szCs w:val="20"/>
          <w:color w:val="auto"/>
        </w:rPr>
      </w:pPr>
    </w:p>
    <w:p>
      <w:pPr>
        <w:ind w:right="140" w:firstLine="524"/>
        <w:spacing w:after="0" w:line="261"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Generally, expenditures for maintenance and repairs are charged to expense and major improvements or replacements are capitalized. The Company computes 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Buildings</w:t>
            </w:r>
          </w:p>
        </w:tc>
        <w:tc>
          <w:tcPr>
            <w:tcW w:w="4640" w:type="dxa"/>
            <w:vAlign w:val="bottom"/>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rPr>
              <w:t>25-30 years</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6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3-5 years</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Furniture and equipment</w:t>
            </w:r>
          </w:p>
        </w:tc>
        <w:tc>
          <w:tcPr>
            <w:tcW w:w="4640" w:type="dxa"/>
            <w:vAlign w:val="bottom"/>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rPr>
              <w:t>5-7 years</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Leasehold improvements</w:t>
            </w:r>
          </w:p>
        </w:tc>
        <w:tc>
          <w:tcPr>
            <w:tcW w:w="46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remainder of lease term</w:t>
            </w:r>
          </w:p>
        </w:tc>
        <w:tc>
          <w:tcPr>
            <w:tcW w:w="168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w:t>
            </w: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Fixed assets consisted of the following (in thousands):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4"/>
                <w:szCs w:val="24"/>
                <w:color w:val="auto"/>
              </w:rPr>
            </w:pPr>
          </w:p>
        </w:tc>
      </w:tr>
      <w:tr>
        <w:trPr>
          <w:trHeight w:val="20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1,405</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21,095</w:t>
            </w: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22,263</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7,031</w:t>
            </w: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1,284</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14,705</w:t>
            </w: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(17,987)</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(16,552)</w:t>
            </w:r>
          </w:p>
        </w:tc>
      </w:tr>
      <w:tr>
        <w:trPr>
          <w:trHeight w:val="20"/>
        </w:trPr>
        <w:tc>
          <w:tcPr>
            <w:tcW w:w="76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fixed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54,441</w:t>
            </w:r>
          </w:p>
        </w:tc>
        <w:tc>
          <w:tcPr>
            <w:tcW w:w="180" w:type="dxa"/>
            <w:vAlign w:val="bottom"/>
          </w:tcPr>
          <w:p>
            <w:pPr>
              <w:spacing w:after="0"/>
              <w:rPr>
                <w:sz w:val="18"/>
                <w:szCs w:val="18"/>
                <w:color w:val="auto"/>
              </w:rPr>
            </w:pPr>
          </w:p>
        </w:tc>
        <w:tc>
          <w:tcPr>
            <w:tcW w:w="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51,231</w:t>
            </w:r>
          </w:p>
        </w:tc>
      </w:tr>
      <w:tr>
        <w:trPr>
          <w:trHeight w:val="20"/>
        </w:trPr>
        <w:tc>
          <w:tcPr>
            <w:tcW w:w="7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and 2025 was $1,435,000 and $1,384,000,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 and Assets Held for Sale</w:t>
      </w:r>
    </w:p>
    <w:p>
      <w:pPr>
        <w:spacing w:after="0" w:line="121" w:lineRule="exact"/>
        <w:rPr>
          <w:sz w:val="20"/>
          <w:szCs w:val="20"/>
          <w:color w:val="auto"/>
        </w:rPr>
      </w:pPr>
    </w:p>
    <w:p>
      <w:pPr>
        <w:ind w:right="80" w:firstLine="524"/>
        <w:spacing w:after="0" w:line="258" w:lineRule="auto"/>
        <w:rPr>
          <w:sz w:val="20"/>
          <w:szCs w:val="20"/>
          <w:color w:val="auto"/>
        </w:rPr>
      </w:pPr>
      <w:r>
        <w:rPr>
          <w:rFonts w:ascii="Times New Roman" w:cs="Times New Roman" w:eastAsia="Times New Roman" w:hAnsi="Times New Roman"/>
          <w:sz w:val="18"/>
          <w:szCs w:val="18"/>
          <w:color w:val="auto"/>
        </w:rPr>
        <w:t>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00" w:firstLine="524"/>
        <w:spacing w:after="0" w:line="253" w:lineRule="auto"/>
        <w:rPr>
          <w:sz w:val="20"/>
          <w:szCs w:val="20"/>
          <w:color w:val="auto"/>
        </w:rPr>
      </w:pPr>
      <w:r>
        <w:rPr>
          <w:rFonts w:ascii="Times New Roman" w:cs="Times New Roman" w:eastAsia="Times New Roman" w:hAnsi="Times New Roman"/>
          <w:sz w:val="18"/>
          <w:szCs w:val="18"/>
          <w:color w:val="auto"/>
        </w:rPr>
        <w:t>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March 31, 2026 and December 31, 2025.</w:t>
      </w:r>
    </w:p>
    <w:p>
      <w:pPr>
        <w:spacing w:after="0" w:line="86" w:lineRule="exact"/>
        <w:rPr>
          <w:sz w:val="20"/>
          <w:szCs w:val="20"/>
          <w:color w:val="auto"/>
        </w:rPr>
      </w:pPr>
    </w:p>
    <w:p>
      <w:pPr>
        <w:ind w:right="40" w:firstLine="524"/>
        <w:spacing w:after="0" w:line="266" w:lineRule="auto"/>
        <w:rPr>
          <w:sz w:val="20"/>
          <w:szCs w:val="20"/>
          <w:color w:val="auto"/>
        </w:rPr>
      </w:pPr>
      <w:r>
        <w:rPr>
          <w:rFonts w:ascii="Times New Roman" w:cs="Times New Roman" w:eastAsia="Times New Roman" w:hAnsi="Times New Roman"/>
          <w:sz w:val="18"/>
          <w:szCs w:val="18"/>
          <w:color w:val="auto"/>
        </w:rPr>
        <w:t>Interest and penalties related to income taxes are included in the expense for income taxes in the Company’s Condensed Consolidated Statements of Operations and Comprehensive Loss. The Company has not incurred any significant interest or penalties related to income taxes in any of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60" w:firstLine="524"/>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The three levels of inputs used to measure fair value are as follows:</w:t>
      </w:r>
    </w:p>
    <w:p>
      <w:pPr>
        <w:spacing w:after="0" w:line="176"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either directly or indirectly observable through correlation with market data</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data, which require the reporting entity to develop its own assumptions</w:t>
      </w:r>
    </w:p>
    <w:p>
      <w:pPr>
        <w:spacing w:after="0" w:line="99" w:lineRule="exact"/>
        <w:rPr>
          <w:sz w:val="20"/>
          <w:szCs w:val="20"/>
          <w:color w:val="auto"/>
        </w:rPr>
      </w:pPr>
    </w:p>
    <w:p>
      <w:pPr>
        <w:ind w:right="140" w:firstLine="524"/>
        <w:spacing w:after="0" w:line="253" w:lineRule="auto"/>
        <w:rPr>
          <w:sz w:val="20"/>
          <w:szCs w:val="20"/>
          <w:color w:val="auto"/>
        </w:rPr>
      </w:pPr>
      <w:r>
        <w:rPr>
          <w:rFonts w:ascii="Times New Roman" w:cs="Times New Roman" w:eastAsia="Times New Roman" w:hAnsi="Times New Roman"/>
          <w:sz w:val="18"/>
          <w:szCs w:val="18"/>
          <w:color w:val="auto"/>
        </w:rPr>
        <w:t>For assets and liabilities recorded at fair value, it is the Company’s policy to maximize the use of observable inputs and minimize the use of unobservable inputs when developing fair value measurements, in accordance with the fair value hierarchy. Fair value measurements for assets and liabilities where there exists limited or no observable market data are based primarily upon estimates and are often calculated based on the economic and competitive environment, the characteristics of the asset or liability and other factors. Therefore, fair value measurements cannot be determined with precision and may not be realized in an actual sale or immediate settlement of the asset or liability. Additionally, there may be inherent weaknesses in any calculation technique and changes in the underlying assumptions used, including discount rates and estimates of future cash flows, could significantly affect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right="160"/>
        <w:spacing w:after="0" w:line="282" w:lineRule="auto"/>
        <w:rPr>
          <w:sz w:val="20"/>
          <w:szCs w:val="20"/>
          <w:color w:val="auto"/>
        </w:rPr>
      </w:pPr>
      <w:r>
        <w:rPr>
          <w:rFonts w:ascii="Times New Roman" w:cs="Times New Roman" w:eastAsia="Times New Roman" w:hAnsi="Times New Roman"/>
          <w:sz w:val="18"/>
          <w:szCs w:val="18"/>
          <w:color w:val="auto"/>
        </w:rPr>
        <w:t>calculated current or future fair values. The Company utilizes fair value measurements to record fair value adjustments to certain assets and liabilities and to determine fair value disclosures.</w:t>
      </w:r>
    </w:p>
    <w:p>
      <w:pPr>
        <w:spacing w:after="0" w:line="54" w:lineRule="exact"/>
        <w:rPr>
          <w:sz w:val="20"/>
          <w:szCs w:val="20"/>
          <w:color w:val="auto"/>
        </w:rPr>
      </w:pPr>
    </w:p>
    <w:p>
      <w:pPr>
        <w:ind w:right="560" w:firstLine="524"/>
        <w:spacing w:after="0" w:line="282" w:lineRule="auto"/>
        <w:rPr>
          <w:sz w:val="20"/>
          <w:szCs w:val="20"/>
          <w:color w:val="auto"/>
        </w:rPr>
      </w:pPr>
      <w:r>
        <w:rPr>
          <w:rFonts w:ascii="Times New Roman" w:cs="Times New Roman" w:eastAsia="Times New Roman" w:hAnsi="Times New Roman"/>
          <w:sz w:val="18"/>
          <w:szCs w:val="18"/>
          <w:color w:val="auto"/>
        </w:rPr>
        <w:t>The carrying values of cash equivalents, accounts payable, and accrued liabilities approximate fair value due to the short term nature of these instruments.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80" w:firstLine="567"/>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Balances recognized related to the Company’s operating and finance leases are included in right-of-use assets, net and lease liabilities in the Condensed Consolidated Balance Sheets. Right of use assets and lease liabilities are recognized based on the present value of the future minimum lease payments over the lease term at commencement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Leases with a term of 12 months or less are not recorded on the balance sheet.</w:t>
      </w:r>
    </w:p>
    <w:p>
      <w:pPr>
        <w:spacing w:after="0" w:line="84" w:lineRule="exact"/>
        <w:rPr>
          <w:sz w:val="20"/>
          <w:szCs w:val="20"/>
          <w:color w:val="auto"/>
        </w:rPr>
      </w:pPr>
    </w:p>
    <w:p>
      <w:pPr>
        <w:ind w:right="140" w:firstLine="524"/>
        <w:spacing w:after="0" w:line="266" w:lineRule="auto"/>
        <w:rPr>
          <w:sz w:val="20"/>
          <w:szCs w:val="20"/>
          <w:color w:val="auto"/>
        </w:rPr>
      </w:pPr>
      <w:r>
        <w:rPr>
          <w:rFonts w:ascii="Times New Roman" w:cs="Times New Roman" w:eastAsia="Times New Roman" w:hAnsi="Times New Roman"/>
          <w:sz w:val="18"/>
          <w:szCs w:val="18"/>
          <w:color w:val="auto"/>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121" w:lineRule="exact"/>
        <w:rPr>
          <w:sz w:val="20"/>
          <w:szCs w:val="20"/>
          <w:color w:val="auto"/>
        </w:rPr>
      </w:pPr>
    </w:p>
    <w:p>
      <w:pPr>
        <w:ind w:right="320" w:firstLine="524"/>
        <w:spacing w:after="0" w:line="282" w:lineRule="auto"/>
        <w:rPr>
          <w:sz w:val="20"/>
          <w:szCs w:val="20"/>
          <w:color w:val="auto"/>
        </w:rPr>
      </w:pPr>
      <w:r>
        <w:rPr>
          <w:rFonts w:ascii="Times New Roman" w:cs="Times New Roman" w:eastAsia="Times New Roman" w:hAnsi="Times New Roman"/>
          <w:sz w:val="18"/>
          <w:szCs w:val="18"/>
          <w:color w:val="auto"/>
        </w:rPr>
        <w:t>The Company records reserves for contingent liabilities when it is probable that an asset has been impaired or a liability has been incurred at the date of the financial statements, and the amount of the loss can be reasonably estimated.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right="140" w:firstLine="524"/>
        <w:spacing w:after="0" w:line="261" w:lineRule="auto"/>
        <w:rPr>
          <w:sz w:val="20"/>
          <w:szCs w:val="20"/>
          <w:color w:val="auto"/>
        </w:rPr>
      </w:pPr>
      <w:r>
        <w:rPr>
          <w:rFonts w:ascii="Times New Roman" w:cs="Times New Roman" w:eastAsia="Times New Roman" w:hAnsi="Times New Roman"/>
          <w:sz w:val="18"/>
          <w:szCs w:val="18"/>
          <w:color w:val="auto"/>
        </w:rPr>
        <w:t>Compensation expense for equity-based compensation awards issued is based on the fair value of the award at the date of grant, and compensation expense is recognized for time-vested awards earned over the service period on a straight-line basis. The Company recognizes equity-based compensation for options containing performance-based vesting conditions over the requisite service period if it is probable that the performance conditions will be satisfied. The Company records forfeitures of equity-based compensation awards as they occur.</w:t>
      </w:r>
    </w:p>
    <w:p>
      <w:pPr>
        <w:spacing w:after="0" w:line="72" w:lineRule="exact"/>
        <w:rPr>
          <w:sz w:val="20"/>
          <w:szCs w:val="20"/>
          <w:color w:val="auto"/>
        </w:rPr>
      </w:pPr>
    </w:p>
    <w:p>
      <w:pPr>
        <w:ind w:right="100" w:firstLine="524"/>
        <w:spacing w:after="0" w:line="258" w:lineRule="auto"/>
        <w:rPr>
          <w:sz w:val="20"/>
          <w:szCs w:val="20"/>
          <w:color w:val="auto"/>
        </w:rPr>
      </w:pPr>
      <w:r>
        <w:rPr>
          <w:rFonts w:ascii="Times New Roman" w:cs="Times New Roman" w:eastAsia="Times New Roman" w:hAnsi="Times New Roman"/>
          <w:sz w:val="18"/>
          <w:szCs w:val="18"/>
          <w:color w:val="auto"/>
        </w:rPr>
        <w:t>The grant date fair value of time and performance-based stock option awards is estimated using the Black-Scholes option pricing formula. Due to the lack of sufficient historical trading information with respect to its own shares, the Company estimates expected volatility based on the volatility of its own Class A common stock as well as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operates in only one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firstLine="524"/>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which requires disclosure of additional information about specific expense categories in the notes to the financial statements on an interim and annual basis. The standard is effective for fiscal years beginning after December 15, 2026, and for interim periods within annual reporting periods beginning after December 15, 2027, with early adoption permitted. The Company is currently evaluating the disclosure requirements related to this new standard.</w:t>
      </w:r>
    </w:p>
    <w:p>
      <w:pPr>
        <w:spacing w:after="0" w:line="72" w:lineRule="exact"/>
        <w:rPr>
          <w:sz w:val="20"/>
          <w:szCs w:val="20"/>
          <w:color w:val="auto"/>
        </w:rPr>
      </w:pPr>
    </w:p>
    <w:p>
      <w:pPr>
        <w:ind w:right="220" w:firstLine="524"/>
        <w:spacing w:after="0" w:line="270" w:lineRule="auto"/>
        <w:rPr>
          <w:sz w:val="20"/>
          <w:szCs w:val="20"/>
          <w:color w:val="auto"/>
        </w:rPr>
      </w:pPr>
      <w:r>
        <w:rPr>
          <w:rFonts w:ascii="Times New Roman" w:cs="Times New Roman" w:eastAsia="Times New Roman" w:hAnsi="Times New Roman"/>
          <w:sz w:val="17"/>
          <w:szCs w:val="17"/>
          <w:color w:val="auto"/>
        </w:rPr>
        <w:t>In September 2025, the FASB issued ASU 2025-06, Intangibles-Goodwill and Other – Internal-Use Software (Subtopic 350-40): Targeted Improvements to the Accounting for Internal-Use Software, which removes the concept of project stages and requires the capitalization of software costs when management has committed to funding the software project and it is probable that the project will be complete. The standard is effective for fiscal years beginning after December 15, 2027, with early adoption permitted. The Company is currently evaluating the impact of adopting this new standard.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Cash equivalents and marketable securities are measured at fair value and within Level 2 in the fair value hierarchy, because we use quoted market prices to the extent available or alternative pricing sources and models utilizing market observable inputs to determine fair value.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our cash equivalents and marketable securities measured at fair value on a recurring basis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0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Marketable</w:t>
            </w:r>
          </w:p>
        </w:tc>
      </w:tr>
      <w:tr>
        <w:trPr>
          <w:trHeight w:val="238"/>
        </w:trPr>
        <w:tc>
          <w:tcPr>
            <w:tcW w:w="2560" w:type="dxa"/>
            <w:vAlign w:val="bottom"/>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Equivalents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0" w:type="dxa"/>
            <w:vAlign w:val="bottom"/>
          </w:tcPr>
          <w:p>
            <w:pPr>
              <w:spacing w:after="0"/>
              <w:rPr>
                <w:sz w:val="20"/>
                <w:szCs w:val="20"/>
                <w:color w:val="auto"/>
              </w:rPr>
            </w:pPr>
          </w:p>
        </w:tc>
      </w:tr>
      <w:tr>
        <w:trPr>
          <w:trHeight w:val="209"/>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3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tcPr>
          <w:p>
            <w:pPr>
              <w:spacing w:after="0"/>
              <w:rPr>
                <w:sz w:val="18"/>
                <w:szCs w:val="18"/>
                <w:color w:val="auto"/>
              </w:rPr>
            </w:pPr>
          </w:p>
        </w:tc>
      </w:tr>
      <w:tr>
        <w:trPr>
          <w:trHeight w:val="216"/>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10,956</w:t>
            </w:r>
          </w:p>
        </w:tc>
        <w:tc>
          <w:tcPr>
            <w:tcW w:w="100" w:type="dxa"/>
            <w:vAlign w:val="bottom"/>
            <w:shd w:val="clear" w:color="auto" w:fill="CFF0FC"/>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tcPr>
          <w:p>
            <w:pPr>
              <w:spacing w:after="0"/>
              <w:rPr>
                <w:sz w:val="18"/>
                <w:szCs w:val="18"/>
                <w:color w:val="auto"/>
              </w:rPr>
            </w:pPr>
          </w:p>
        </w:tc>
      </w:tr>
      <w:tr>
        <w:trPr>
          <w:trHeight w:val="216"/>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Government bonds</w:t>
            </w:r>
          </w:p>
        </w:tc>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40,947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40,942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100" w:type="dxa"/>
            <w:vAlign w:val="bottom"/>
            <w:shd w:val="clear" w:color="auto" w:fill="CFF0FC"/>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92,376</w:t>
            </w:r>
          </w:p>
        </w:tc>
        <w:tc>
          <w:tcPr>
            <w:tcW w:w="100" w:type="dxa"/>
            <w:vAlign w:val="bottom"/>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163,637</w:t>
            </w:r>
          </w:p>
        </w:tc>
        <w:tc>
          <w:tcPr>
            <w:tcW w:w="3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163,539</w:t>
            </w:r>
          </w:p>
        </w:tc>
        <w:tc>
          <w:tcPr>
            <w:tcW w:w="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40,489</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123,050</w:t>
            </w:r>
          </w:p>
        </w:tc>
        <w:tc>
          <w:tcPr>
            <w:tcW w:w="100" w:type="dxa"/>
            <w:vAlign w:val="bottom"/>
            <w:shd w:val="clear" w:color="auto" w:fill="CFF0FC"/>
          </w:tcPr>
          <w:p>
            <w:pPr>
              <w:spacing w:after="0"/>
              <w:rPr>
                <w:sz w:val="19"/>
                <w:szCs w:val="19"/>
                <w:color w:val="auto"/>
              </w:rPr>
            </w:pPr>
          </w:p>
        </w:tc>
      </w:tr>
      <w:tr>
        <w:trPr>
          <w:trHeight w:val="20"/>
        </w:trPr>
        <w:tc>
          <w:tcPr>
            <w:tcW w:w="25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90"/>
        </w:trPr>
        <w:tc>
          <w:tcPr>
            <w:tcW w:w="2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6"/>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0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Marketable</w:t>
            </w:r>
          </w:p>
        </w:tc>
      </w:tr>
      <w:tr>
        <w:trPr>
          <w:trHeight w:val="238"/>
        </w:trPr>
        <w:tc>
          <w:tcPr>
            <w:tcW w:w="2560" w:type="dxa"/>
            <w:vAlign w:val="bottom"/>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Equivalents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0" w:type="dxa"/>
            <w:vAlign w:val="bottom"/>
          </w:tcPr>
          <w:p>
            <w:pPr>
              <w:spacing w:after="0"/>
              <w:rPr>
                <w:sz w:val="20"/>
                <w:szCs w:val="20"/>
                <w:color w:val="auto"/>
              </w:rPr>
            </w:pPr>
          </w:p>
        </w:tc>
      </w:tr>
      <w:tr>
        <w:trPr>
          <w:trHeight w:val="209"/>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3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tcPr>
          <w:p>
            <w:pPr>
              <w:spacing w:after="0"/>
              <w:rPr>
                <w:sz w:val="18"/>
                <w:szCs w:val="18"/>
                <w:color w:val="auto"/>
              </w:rPr>
            </w:pPr>
          </w:p>
        </w:tc>
      </w:tr>
      <w:tr>
        <w:trPr>
          <w:trHeight w:val="216"/>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100" w:type="dxa"/>
            <w:vAlign w:val="bottom"/>
            <w:shd w:val="clear" w:color="auto" w:fill="CFF0FC"/>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tcPr>
          <w:p>
            <w:pPr>
              <w:spacing w:after="0"/>
              <w:rPr>
                <w:sz w:val="18"/>
                <w:szCs w:val="18"/>
                <w:color w:val="auto"/>
              </w:rPr>
            </w:pPr>
          </w:p>
        </w:tc>
      </w:tr>
      <w:tr>
        <w:trPr>
          <w:trHeight w:val="216"/>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Government bonds</w:t>
            </w:r>
          </w:p>
        </w:tc>
        <w:tc>
          <w:tcPr>
            <w:tcW w:w="1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30,956</w:t>
            </w:r>
          </w:p>
        </w:tc>
        <w:tc>
          <w:tcPr>
            <w:tcW w:w="100" w:type="dxa"/>
            <w:vAlign w:val="bottom"/>
            <w:shd w:val="clear" w:color="auto" w:fill="CFF0FC"/>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107,099</w:t>
            </w:r>
          </w:p>
        </w:tc>
        <w:tc>
          <w:tcPr>
            <w:tcW w:w="100" w:type="dxa"/>
            <w:vAlign w:val="bottom"/>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201,875</w:t>
            </w:r>
          </w:p>
        </w:tc>
        <w:tc>
          <w:tcPr>
            <w:tcW w:w="3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202,006</w:t>
            </w:r>
          </w:p>
        </w:tc>
        <w:tc>
          <w:tcPr>
            <w:tcW w:w="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40,526</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161,480</w:t>
            </w:r>
          </w:p>
        </w:tc>
        <w:tc>
          <w:tcPr>
            <w:tcW w:w="100" w:type="dxa"/>
            <w:vAlign w:val="bottom"/>
            <w:shd w:val="clear" w:color="auto" w:fill="CFF0FC"/>
          </w:tcPr>
          <w:p>
            <w:pPr>
              <w:spacing w:after="0"/>
              <w:rPr>
                <w:sz w:val="19"/>
                <w:szCs w:val="19"/>
                <w:color w:val="auto"/>
              </w:rPr>
            </w:pPr>
          </w:p>
        </w:tc>
      </w:tr>
      <w:tr>
        <w:trPr>
          <w:trHeight w:val="20"/>
        </w:trPr>
        <w:tc>
          <w:tcPr>
            <w:tcW w:w="25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-1713865</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-1696720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-1713865</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-1696720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-1713865</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-1696720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-1713865</wp:posOffset>
            </wp:positionV>
            <wp:extent cx="596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-1696720</wp:posOffset>
            </wp:positionV>
            <wp:extent cx="59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-1713865</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-1696720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-1713865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-1696720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-24765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596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-24765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the Company’s cash equivalents and marketable securities, by contractual maturity, as of March 31, 2026 (in thousands):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1 year or less</w:t>
            </w:r>
          </w:p>
        </w:tc>
        <w:tc>
          <w:tcPr>
            <w:tcW w:w="300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157,807</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Due in 1 year through 5 years</w:t>
            </w:r>
          </w:p>
        </w:tc>
        <w:tc>
          <w:tcPr>
            <w:tcW w:w="2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5,732</w:t>
            </w:r>
          </w:p>
        </w:tc>
      </w:tr>
      <w:tr>
        <w:trPr>
          <w:trHeight w:val="20"/>
        </w:trPr>
        <w:tc>
          <w:tcPr>
            <w:tcW w:w="4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163,539</w:t>
            </w: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fair values and gross unrealized losses recorded to accumulated other comprehensive income, aggregated by category and the length of time that individual securities have been in a continuous loss position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187"/>
        </w:trPr>
        <w:tc>
          <w:tcPr>
            <w:tcW w:w="3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440" w:type="dxa"/>
            <w:vAlign w:val="bottom"/>
            <w:gridSpan w:val="2"/>
          </w:tcPr>
          <w:p>
            <w:pPr>
              <w:spacing w:after="0"/>
              <w:rPr>
                <w:sz w:val="16"/>
                <w:szCs w:val="16"/>
                <w:color w:val="auto"/>
              </w:rPr>
            </w:pPr>
          </w:p>
        </w:tc>
      </w:tr>
      <w:tr>
        <w:trPr>
          <w:trHeight w:val="238"/>
        </w:trPr>
        <w:tc>
          <w:tcPr>
            <w:tcW w:w="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440" w:type="dxa"/>
            <w:vAlign w:val="bottom"/>
            <w:gridSpan w:val="2"/>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94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96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Government bonds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37,938</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96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66,173</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66,173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112,415</w:t>
            </w:r>
          </w:p>
        </w:tc>
        <w:tc>
          <w:tcPr>
            <w:tcW w:w="220" w:type="dxa"/>
            <w:vAlign w:val="bottom"/>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112,415</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-942340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-942340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-942340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-942340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-942340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-942340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tbl>
      <w:tblPr>
        <w:tblLayout w:type="fixed"/>
        <w:tblInd w:w="34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r>
      <w:tr>
        <w:trPr>
          <w:trHeight w:val="238"/>
        </w:trPr>
        <w:tc>
          <w:tcPr>
            <w:tcW w:w="2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r>
      <w:tr>
        <w:trPr>
          <w:trHeight w:val="210"/>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20" w:type="dxa"/>
            <w:vAlign w:val="bottom"/>
            <w:gridSpan w:val="2"/>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8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22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-170815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-170815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holds debt securities of companies with high credit quality and has determined that there was no material change in the credit risk of its debt securities during the three months ended March 31, 2026 and 2025. As such, the Company has not recognized an allowance for credit losses related to our marketable debt securities during the three months ended March 31, 2026 and 2025. As of March 31, 2026, there were 93 investment positions that were in an unrealized loss position.</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Income Taxes</w:t>
      </w:r>
    </w:p>
    <w:p>
      <w:pPr>
        <w:spacing w:after="0" w:line="121" w:lineRule="exact"/>
        <w:rPr>
          <w:sz w:val="20"/>
          <w:szCs w:val="20"/>
          <w:color w:val="auto"/>
        </w:rPr>
      </w:pPr>
    </w:p>
    <w:p>
      <w:pPr>
        <w:ind w:right="20" w:firstLine="524"/>
        <w:spacing w:after="0" w:line="255" w:lineRule="auto"/>
        <w:rPr>
          <w:sz w:val="20"/>
          <w:szCs w:val="20"/>
          <w:color w:val="auto"/>
        </w:rPr>
      </w:pPr>
      <w:r>
        <w:rPr>
          <w:rFonts w:ascii="Times New Roman" w:cs="Times New Roman" w:eastAsia="Times New Roman" w:hAnsi="Times New Roman"/>
          <w:sz w:val="18"/>
          <w:szCs w:val="18"/>
          <w:color w:val="auto"/>
        </w:rPr>
        <w:t>Prior to the Domestication and other Restructuring transactions, ProKidney was considered an exempted Cayman Islands company and was not subject to income taxes or income tax filing requirements in the Cayman Islands or the United States. The Company’s subsidiary, PKLP, was organized as a limited partnership under the laws and regulations of Ireland and was classified as a partnership for U.S. income tax purposes. Further, the Company’s subsidiary, ProKidney-KY, had been granted, by the Government in Council of the Cayman Islands, tax concessions under an undertaking certificate exempting it from any tax levied on profits, income, gains or appreciations in relation to its operations or in the nature of estate duty or inheritance tax for a period of twenty years from January 20, 2016. ProKidney-KY elected to be treated as disregarded as separate from its owner, PKLP, for U.S. tax purposes, and as a result, it did not record an income tax provision.</w:t>
      </w:r>
    </w:p>
    <w:p>
      <w:pPr>
        <w:spacing w:after="0" w:line="81" w:lineRule="exact"/>
        <w:rPr>
          <w:sz w:val="20"/>
          <w:szCs w:val="20"/>
          <w:color w:val="auto"/>
        </w:rPr>
      </w:pPr>
    </w:p>
    <w:p>
      <w:pPr>
        <w:ind w:right="240" w:firstLine="524"/>
        <w:spacing w:after="0" w:line="266" w:lineRule="auto"/>
        <w:rPr>
          <w:sz w:val="20"/>
          <w:szCs w:val="20"/>
          <w:color w:val="auto"/>
        </w:rPr>
      </w:pPr>
      <w:r>
        <w:rPr>
          <w:rFonts w:ascii="Times New Roman" w:cs="Times New Roman" w:eastAsia="Times New Roman" w:hAnsi="Times New Roman"/>
          <w:sz w:val="18"/>
          <w:szCs w:val="18"/>
          <w:color w:val="auto"/>
        </w:rPr>
        <w:t>The Domestication and other Restructuring transactions resulted in the Company becoming subject to corporate level income taxes in the U.S. Further, the Post-Domestication Reorganization, which was effective on September 1, 2025, resulted in certain of the Company’s subsidiaries becoming part of a consolidated group and ProKidney-US becoming disregarded as separate from its owner, “PK Holdings” for U.S. federal income tax purposes.</w:t>
      </w:r>
    </w:p>
    <w:p>
      <w:pPr>
        <w:spacing w:after="0" w:line="68" w:lineRule="exact"/>
        <w:rPr>
          <w:sz w:val="20"/>
          <w:szCs w:val="20"/>
          <w:color w:val="auto"/>
        </w:rPr>
      </w:pPr>
    </w:p>
    <w:p>
      <w:pPr>
        <w:ind w:right="120" w:firstLine="524"/>
        <w:spacing w:after="0" w:line="258" w:lineRule="auto"/>
        <w:rPr>
          <w:sz w:val="20"/>
          <w:szCs w:val="20"/>
          <w:color w:val="auto"/>
        </w:rPr>
      </w:pPr>
      <w:r>
        <w:rPr>
          <w:rFonts w:ascii="Times New Roman" w:cs="Times New Roman" w:eastAsia="Times New Roman" w:hAnsi="Times New Roman"/>
          <w:sz w:val="18"/>
          <w:szCs w:val="18"/>
          <w:color w:val="auto"/>
        </w:rPr>
        <w:t>For periods prior to the Domestication and Post-Domestication Reorganization, the difference between the Company’s effective tax rates and the Cayman statutory rate of 0% was primarily attributable to the recording of a tax provision for U.S. federal and state taxes for the Company’s subsidiaries, ProKidney-US and ProKidney Acquisition Company, which were treated as a C corporation for U.S. federal income tax purposes. For periods subsequent to the Domestication and Post-Domestication Reorganization, the difference between the Company’s effective tax rates and the U.S. statutory rate of 21% was primarily attributable to the valuation allowance against the Company’s expected net operating losses.</w:t>
      </w:r>
    </w:p>
    <w:p>
      <w:pPr>
        <w:spacing w:after="0" w:line="75"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As discussed in Note 6, the Company is party to a tax receivable agreement with a related party which provides for the payment by the Company to holders of PKLP prior to the Closing (“Closing ProKidney Unitholders”)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March 31, 2026.</w:t>
      </w:r>
    </w:p>
    <w:p>
      <w:pPr>
        <w:spacing w:after="0" w:line="75" w:lineRule="exact"/>
        <w:rPr>
          <w:sz w:val="20"/>
          <w:szCs w:val="20"/>
          <w:color w:val="auto"/>
        </w:rPr>
      </w:pPr>
    </w:p>
    <w:p>
      <w:pPr>
        <w:ind w:right="240" w:firstLine="524"/>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w:t>
      </w:r>
    </w:p>
    <w:p>
      <w:pPr>
        <w:spacing w:after="0" w:line="72" w:lineRule="exact"/>
        <w:rPr>
          <w:sz w:val="20"/>
          <w:szCs w:val="20"/>
          <w:color w:val="auto"/>
        </w:rPr>
      </w:pPr>
    </w:p>
    <w:p>
      <w:pPr>
        <w:ind w:right="100" w:firstLine="524"/>
        <w:spacing w:after="0" w:line="282" w:lineRule="auto"/>
        <w:rPr>
          <w:sz w:val="20"/>
          <w:szCs w:val="20"/>
          <w:color w:val="auto"/>
        </w:rPr>
      </w:pPr>
      <w:r>
        <w:rPr>
          <w:rFonts w:ascii="Times New Roman" w:cs="Times New Roman" w:eastAsia="Times New Roman" w:hAnsi="Times New Roman"/>
          <w:sz w:val="18"/>
          <w:szCs w:val="18"/>
          <w:color w:val="auto"/>
        </w:rPr>
        <w:t>There were no net unrecognized tax benefits as of March 31, 2026 which, if recognized, would affect our effective tax rate. We expect none of the gross unrecognized tax benefits will decrease within the next year.</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There were no significant changes in the Company’s uncertain tax positions during the three months ended March 31, 2026 and 2025.</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tab/>
        <w:t>Leases</w:t>
      </w:r>
    </w:p>
    <w:p>
      <w:pPr>
        <w:spacing w:after="0" w:line="121" w:lineRule="exact"/>
        <w:rPr>
          <w:sz w:val="20"/>
          <w:szCs w:val="20"/>
          <w:color w:val="auto"/>
        </w:rPr>
      </w:pPr>
    </w:p>
    <w:p>
      <w:pPr>
        <w:ind w:right="260" w:firstLine="524"/>
        <w:spacing w:after="0" w:line="257" w:lineRule="auto"/>
        <w:rPr>
          <w:sz w:val="20"/>
          <w:szCs w:val="20"/>
          <w:color w:val="auto"/>
        </w:rPr>
      </w:pPr>
      <w:r>
        <w:rPr>
          <w:rFonts w:ascii="Times New Roman" w:cs="Times New Roman" w:eastAsia="Times New Roman" w:hAnsi="Times New Roman"/>
          <w:sz w:val="18"/>
          <w:szCs w:val="18"/>
          <w:color w:val="auto"/>
        </w:rPr>
        <w:t>The Company has operating leases for real estate (primarily its operating facilities) and certain equipment with various expiration dates. The Company also has finance leases for certain equipment. The Company leases a portion of two multi-tenant buildings in Winston-Salem, North Carolina, under lease agreements held with certain third parties.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Lessee Leases</w:t>
      </w:r>
    </w:p>
    <w:p>
      <w:pPr>
        <w:spacing w:after="0" w:line="119" w:lineRule="exact"/>
        <w:rPr>
          <w:sz w:val="20"/>
          <w:szCs w:val="20"/>
          <w:color w:val="auto"/>
        </w:rPr>
      </w:pPr>
    </w:p>
    <w:p>
      <w:pPr>
        <w:ind w:right="540" w:firstLine="5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Company’s rent expense was $355,000 and $321,000, respectively. Cash paid for operating leases during the three months ended March 31, 2026 was $354,000.</w:t>
      </w:r>
    </w:p>
    <w:p>
      <w:pPr>
        <w:spacing w:after="0" w:line="54" w:lineRule="exact"/>
        <w:rPr>
          <w:sz w:val="20"/>
          <w:szCs w:val="20"/>
          <w:color w:val="auto"/>
        </w:rPr>
      </w:pPr>
    </w:p>
    <w:p>
      <w:pPr>
        <w:ind w:right="140"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 of operating and finance lease assets and obligations in the Company's Condensed Consolidated Balance Sheets as of March 31, 2026 and December 31, 2025 (in thousands):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3,590</w:t>
            </w:r>
          </w:p>
        </w:tc>
      </w:tr>
      <w:tr>
        <w:trPr>
          <w:trHeight w:val="198"/>
        </w:trPr>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1,054</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Pr>
          <w:p>
            <w:pPr>
              <w:spacing w:after="0"/>
              <w:rPr>
                <w:sz w:val="18"/>
                <w:szCs w:val="18"/>
                <w:color w:val="auto"/>
              </w:rPr>
            </w:pPr>
          </w:p>
        </w:tc>
      </w:tr>
      <w:tr>
        <w:trPr>
          <w:trHeight w:val="209"/>
        </w:trPr>
        <w:tc>
          <w:tcPr>
            <w:tcW w:w="6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3,959</w:t>
            </w: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-170815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Maturities of lease liabilities for the Company’s operating and finance leases are as follows as of March 31, 2026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Finance Leases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1,075</w:t>
            </w:r>
          </w:p>
        </w:tc>
        <w:tc>
          <w:tcPr>
            <w:tcW w:w="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1,091</w:t>
            </w: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1,314</w:t>
            </w:r>
          </w:p>
        </w:tc>
      </w:tr>
      <w:tr>
        <w:trPr>
          <w:trHeight w:val="216"/>
        </w:trPr>
        <w:tc>
          <w:tcPr>
            <w:tcW w:w="4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1,097</w:t>
            </w: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2029</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4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2030</w:t>
            </w: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r>
      <w:tr>
        <w:trPr>
          <w:trHeight w:val="20"/>
        </w:trPr>
        <w:tc>
          <w:tcPr>
            <w:tcW w:w="4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4,652</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(869)</w:t>
            </w:r>
          </w:p>
        </w:tc>
      </w:tr>
      <w:tr>
        <w:trPr>
          <w:trHeight w:val="20"/>
        </w:trPr>
        <w:tc>
          <w:tcPr>
            <w:tcW w:w="4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8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3,711</w:t>
            </w:r>
          </w:p>
        </w:tc>
        <w:tc>
          <w:tcPr>
            <w:tcW w:w="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3,783</w:t>
            </w: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140" w:firstLine="5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each of operating and finance leases is 3.7 years. The weighted average discount rate for operating leases is 11.0% and 5.6% for finance leases.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Leases</w:t>
      </w:r>
    </w:p>
    <w:p>
      <w:pPr>
        <w:spacing w:after="0" w:line="119"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The Company leases a portion of its facilities in Winston-Salem, North Carolina under agreements that are classified as operating leases. In addition to the rental payments, tenants pay a fixed rate for their pro rata share of real estate taxes, insurance and other facility operating expenses. These amounts are recognized as revenues on a straight-line basis over the term of the related leases. For leasing revenues where collectability is not considered probable, lease income is recognized on a cash basis and all previously recognized tenant accounts receivables, including straight-line rent, are fully reserved in the period in which the lease income is determined not to be probable of collection. These lease agreements terminate between 2026 and 2029.</w:t>
      </w:r>
    </w:p>
    <w:p>
      <w:pPr>
        <w:spacing w:after="0" w:line="75" w:lineRule="exact"/>
        <w:rPr>
          <w:sz w:val="20"/>
          <w:szCs w:val="20"/>
          <w:color w:val="auto"/>
        </w:rPr>
      </w:pPr>
    </w:p>
    <w:p>
      <w:pPr>
        <w:ind w:right="60" w:firstLine="524"/>
        <w:spacing w:after="0" w:line="266" w:lineRule="auto"/>
        <w:rPr>
          <w:sz w:val="20"/>
          <w:szCs w:val="20"/>
          <w:color w:val="auto"/>
        </w:rPr>
      </w:pPr>
      <w:r>
        <w:rPr>
          <w:rFonts w:ascii="Times New Roman" w:cs="Times New Roman" w:eastAsia="Times New Roman" w:hAnsi="Times New Roman"/>
          <w:sz w:val="18"/>
          <w:szCs w:val="18"/>
          <w:color w:val="auto"/>
        </w:rPr>
        <w:t>The leasing revenue for the three months ended March 31, 2026 and 2025 was $226,000 and $230,000, respectively. Future minimum lease payments under non-cancelable operating leases as of March 31, 2026 excluding the effect of straight-line rent and variable rental payments are as follows (in thousands):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sectPr>
      </w:pPr>
    </w:p>
    <w:bookmarkStart w:id="16" w:name="page17"/>
    <w:bookmarkEnd w:id="16"/>
    <w:tbl>
      <w:tblPr>
        <w:tblLayout w:type="fixed"/>
        <w:tblInd w:w="34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8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FF0FC"/>
          </w:tcPr>
          <w:p>
            <w:pPr>
              <w:spacing w:after="0"/>
              <w:rPr>
                <w:sz w:val="18"/>
                <w:szCs w:val="18"/>
                <w:color w:val="auto"/>
              </w:rPr>
            </w:pPr>
          </w:p>
        </w:tc>
      </w:tr>
      <w:tr>
        <w:trPr>
          <w:trHeight w:val="216"/>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8"/>
                <w:szCs w:val="18"/>
                <w:color w:val="auto"/>
              </w:rPr>
            </w:pPr>
          </w:p>
        </w:tc>
      </w:tr>
      <w:tr>
        <w:trPr>
          <w:trHeight w:val="216"/>
        </w:trPr>
        <w:tc>
          <w:tcPr>
            <w:tcW w:w="8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FF0FC"/>
          </w:tcPr>
          <w:p>
            <w:pPr>
              <w:spacing w:after="0"/>
              <w:rPr>
                <w:sz w:val="18"/>
                <w:szCs w:val="18"/>
                <w:color w:val="auto"/>
              </w:rPr>
            </w:pPr>
          </w:p>
        </w:tc>
      </w:tr>
      <w:tr>
        <w:trPr>
          <w:trHeight w:val="216"/>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6"/>
        </w:trPr>
        <w:tc>
          <w:tcPr>
            <w:tcW w:w="8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2030</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-25400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119" w:lineRule="exact"/>
        <w:rPr>
          <w:sz w:val="20"/>
          <w:szCs w:val="20"/>
          <w:color w:val="auto"/>
        </w:rPr>
      </w:pPr>
    </w:p>
    <w:p>
      <w:pPr>
        <w:ind w:right="60" w:firstLine="524"/>
        <w:spacing w:after="0" w:line="253" w:lineRule="auto"/>
        <w:rPr>
          <w:sz w:val="20"/>
          <w:szCs w:val="20"/>
          <w:color w:val="auto"/>
        </w:rPr>
      </w:pPr>
      <w:r>
        <w:rPr>
          <w:rFonts w:ascii="Times New Roman" w:cs="Times New Roman" w:eastAsia="Times New Roman" w:hAnsi="Times New Roman"/>
          <w:sz w:val="18"/>
          <w:szCs w:val="18"/>
          <w:color w:val="auto"/>
        </w:rPr>
        <w:t>On the Closing Date, the Company entered into an exchange agreement with PKLP and certain Closing ProKidney Unitholders (as amended, the “Exchange Agreement”) pursuant to which, subject to the procedures and restrictions therein, from and after the waiver or expiration of any contractual lock-up period (including pursuant to the Lock-Up Agreement (as defined below)) the holders of Post-Combination ProKidney Common Units as defined in the Exchange Agreement (or certain permitted transferees thereof) have the right from time to time at and after 180 days following the Closing to exchange their Post-Combination ProKidney Common Units and an equal number of shares of Class B common stock of the Company on a one-for-one basis for shares of Class A common stock of the Company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share of Class A common stock. The Exchange Agreement provides that, as a general matter, a holder of Post-Combination ProKidney Common Units will not have the right to exchange Post-Combination ProKidney Common Units if the Company determines that such exchange would be prohibited by law or regulation or would violate other agreements with the Company and its subsidiaries to which the holder of Post-Combination ProKidney Common Units may be subject, including the Second Amended and Restated ProKidney Limited Partnership Agreement and the Exchange Agreement.</w:t>
      </w:r>
    </w:p>
    <w:p>
      <w:pPr>
        <w:spacing w:after="0" w:line="82" w:lineRule="exact"/>
        <w:rPr>
          <w:sz w:val="20"/>
          <w:szCs w:val="20"/>
          <w:color w:val="auto"/>
        </w:rPr>
      </w:pPr>
    </w:p>
    <w:p>
      <w:pPr>
        <w:ind w:right="320" w:firstLine="524"/>
        <w:spacing w:after="0" w:line="282" w:lineRule="auto"/>
        <w:rPr>
          <w:sz w:val="20"/>
          <w:szCs w:val="20"/>
          <w:color w:val="auto"/>
        </w:rPr>
      </w:pPr>
      <w:r>
        <w:rPr>
          <w:rFonts w:ascii="Times New Roman" w:cs="Times New Roman" w:eastAsia="Times New Roman" w:hAnsi="Times New Roman"/>
          <w:sz w:val="18"/>
          <w:szCs w:val="18"/>
          <w:color w:val="auto"/>
        </w:rPr>
        <w:t>In connection with the Domestication and the other Restructuring transactions, the Company amended and restated the Exchange Agreement on substantially similar terms in order to reflect updates to the Company’s corporate structure resulting from the Restructuring.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19" w:lineRule="exact"/>
        <w:rPr>
          <w:sz w:val="20"/>
          <w:szCs w:val="20"/>
          <w:color w:val="auto"/>
        </w:rPr>
      </w:pPr>
    </w:p>
    <w:p>
      <w:pPr>
        <w:ind w:firstLine="524"/>
        <w:spacing w:after="0" w:line="252" w:lineRule="auto"/>
        <w:rPr>
          <w:sz w:val="20"/>
          <w:szCs w:val="20"/>
          <w:color w:val="auto"/>
        </w:rPr>
      </w:pPr>
      <w:r>
        <w:rPr>
          <w:rFonts w:ascii="Times New Roman" w:cs="Times New Roman" w:eastAsia="Times New Roman" w:hAnsi="Times New Roman"/>
          <w:sz w:val="18"/>
          <w:szCs w:val="18"/>
          <w:color w:val="auto"/>
        </w:rPr>
        <w:t>On the Closing Date, the Company, SCS Sponsor III LLC and certain Closing ProKidney Unitholders entered into a lock-up agreement (as amended, the “Lock-Up Agreement”). The Lock-Up Agreement contains certain restrictions on transfer with respect to the SCS Sponsor III LLC and the Closing ProKidney Unitholders party thereto. Such restrictions began at the Closing and end on the earlier of (i) the date that is 180 days after the Closing and (ii)(a) for 33% of the Lock-Up Shares (other than the Earnout Shares and the PIPE Shares), the date on which the last reported sale price of the Class A common stock of the Company equals or exceeds $12.50 per share for any 20 trading days within any 30-trading day period commencing at least 30 days after the Closing and (b) for an additional 50% of the Lock-Up Shares (other than the Earnout Shares and the Private Placement Shares (as each such term is defined in the Lock-Up Agreement)), the date on which the last reported sale price of the Class A common stock of the Company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 Holdings receives notice of any regulatory market authorization, including full or conditional authorization, to market its lead product candidate, rilparencel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w:t>
      </w:r>
    </w:p>
    <w:p>
      <w:pPr>
        <w:spacing w:after="0" w:line="89" w:lineRule="exact"/>
        <w:rPr>
          <w:sz w:val="20"/>
          <w:szCs w:val="20"/>
          <w:color w:val="auto"/>
        </w:rPr>
      </w:pPr>
    </w:p>
    <w:p>
      <w:pPr>
        <w:ind w:right="380" w:firstLine="524"/>
        <w:spacing w:after="0" w:line="282" w:lineRule="auto"/>
        <w:rPr>
          <w:sz w:val="20"/>
          <w:szCs w:val="20"/>
          <w:color w:val="auto"/>
        </w:rPr>
      </w:pPr>
      <w:r>
        <w:rPr>
          <w:rFonts w:ascii="Times New Roman" w:cs="Times New Roman" w:eastAsia="Times New Roman" w:hAnsi="Times New Roman"/>
          <w:sz w:val="18"/>
          <w:szCs w:val="18"/>
          <w:color w:val="auto"/>
        </w:rPr>
        <w:t>In connection with the Domestication and the other Restructuring transactions, the Company amended and restated the Lock-Up Agreement on substantially similar terms in order to reflect updates to the Company’s corporate structure resulting from the Restructuring.</w:t>
      </w:r>
    </w:p>
    <w:p>
      <w:pPr>
        <w:spacing w:after="0" w:line="54" w:lineRule="exact"/>
        <w:rPr>
          <w:sz w:val="20"/>
          <w:szCs w:val="20"/>
          <w:color w:val="auto"/>
        </w:rPr>
      </w:pPr>
    </w:p>
    <w:p>
      <w:pPr>
        <w:jc w:val="center"/>
        <w:ind w:left="780" w:right="80"/>
        <w:spacing w:after="0" w:line="282" w:lineRule="auto"/>
        <w:rPr>
          <w:sz w:val="20"/>
          <w:szCs w:val="20"/>
          <w:color w:val="auto"/>
        </w:rPr>
      </w:pPr>
      <w:r>
        <w:rPr>
          <w:rFonts w:ascii="Times New Roman" w:cs="Times New Roman" w:eastAsia="Times New Roman" w:hAnsi="Times New Roman"/>
          <w:sz w:val="18"/>
          <w:szCs w:val="18"/>
          <w:color w:val="auto"/>
        </w:rPr>
        <w:t>During January 2023, the lock-up period for 50% of the shares held by the Closing ProKidney Unitholders (other than the Earnout Shares) expired.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19" w:lineRule="exact"/>
        <w:rPr>
          <w:sz w:val="20"/>
          <w:szCs w:val="20"/>
          <w:color w:val="auto"/>
        </w:rPr>
      </w:pPr>
    </w:p>
    <w:p>
      <w:pPr>
        <w:ind w:firstLine="524"/>
        <w:spacing w:after="0" w:line="256" w:lineRule="auto"/>
        <w:rPr>
          <w:sz w:val="20"/>
          <w:szCs w:val="20"/>
          <w:color w:val="auto"/>
        </w:rPr>
      </w:pPr>
      <w:r>
        <w:rPr>
          <w:rFonts w:ascii="Times New Roman" w:cs="Times New Roman" w:eastAsia="Times New Roman" w:hAnsi="Times New Roman"/>
          <w:sz w:val="18"/>
          <w:szCs w:val="18"/>
          <w:color w:val="auto"/>
        </w:rPr>
        <w:t>On the Closing Date, the Company entered into a tax receivable agreement (as amended, the “Tax Receivable Agreement”) with the Closing ProKidney Unitholders. Pursuant to the Tax Receivable Agreement, among other things, the Company will be required to pay the Closing ProKidney Unitholders party thereto 85% of certain tax savings recognized by the Company, if any, as a result of the increases in tax basis attributable to exchanges by the Closing ProKidney Unitholders of Post-Combination ProKidney Common Units for Class A common stock of the Company or, subject to certain restrictions, cash, pursuant to the Exchange Agreement and certain other tax attributes of PK Holdings and tax benefits related to entering into the Tax Receivable Agreement.</w:t>
      </w:r>
    </w:p>
    <w:p>
      <w:pPr>
        <w:spacing w:after="0" w:line="79" w:lineRule="exact"/>
        <w:rPr>
          <w:sz w:val="20"/>
          <w:szCs w:val="20"/>
          <w:color w:val="auto"/>
        </w:rPr>
      </w:pPr>
    </w:p>
    <w:p>
      <w:pPr>
        <w:ind w:right="160" w:firstLine="524"/>
        <w:spacing w:after="0" w:line="282" w:lineRule="auto"/>
        <w:rPr>
          <w:sz w:val="20"/>
          <w:szCs w:val="20"/>
          <w:color w:val="auto"/>
        </w:rPr>
      </w:pPr>
      <w:r>
        <w:rPr>
          <w:rFonts w:ascii="Times New Roman" w:cs="Times New Roman" w:eastAsia="Times New Roman" w:hAnsi="Times New Roman"/>
          <w:sz w:val="18"/>
          <w:szCs w:val="18"/>
          <w:color w:val="auto"/>
        </w:rPr>
        <w:t>In connection with the Domestication and the other Restructuring transactions, the Company amended and restated the Tax Receivable Agreement on substantially similar terms in order to reflect updates to the Company’s corporate structure resulting from the Restructuring.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Rights</w:t>
      </w:r>
    </w:p>
    <w:p>
      <w:pPr>
        <w:spacing w:after="0" w:line="119" w:lineRule="exact"/>
        <w:rPr>
          <w:sz w:val="20"/>
          <w:szCs w:val="20"/>
          <w:color w:val="auto"/>
        </w:rPr>
      </w:pPr>
    </w:p>
    <w:p>
      <w:pPr>
        <w:ind w:right="140" w:firstLine="524"/>
        <w:spacing w:after="0" w:line="258" w:lineRule="auto"/>
        <w:rPr>
          <w:sz w:val="20"/>
          <w:szCs w:val="20"/>
          <w:color w:val="auto"/>
        </w:rPr>
      </w:pPr>
      <w:r>
        <w:rPr>
          <w:rFonts w:ascii="Times New Roman" w:cs="Times New Roman" w:eastAsia="Times New Roman" w:hAnsi="Times New Roman"/>
          <w:sz w:val="18"/>
          <w:szCs w:val="18"/>
          <w:color w:val="auto"/>
        </w:rPr>
        <w:t>At the Closing, certain stockholders were issued an aggregate of 17,500,000 Earnout Restricted Common Units and 17,500,000 Earnout Restricted Stock Rights (collectively, the “Earnout Rights”). The Earnout Rights vest in three equal tranches if, during the five-year period after Closing, the VWAP of the Company’s Class A common stock reaches $15.00 per share, $20.00 per share and $25.00 per share. Likewise, the Earnout Rights will vest upon a change of control with a per share price exceeding those same VWAP thresholds within a five-year period immediately following the Closing. Upon vesting, the Earnout Rights will automatically convert into Post Combination ProKidney Common Units and Class B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Services Agreement between ProKidney IPCo. and Nefro Health</w:t>
      </w:r>
    </w:p>
    <w:p>
      <w:pPr>
        <w:spacing w:after="0" w:line="119" w:lineRule="exact"/>
        <w:rPr>
          <w:sz w:val="20"/>
          <w:szCs w:val="20"/>
          <w:color w:val="auto"/>
        </w:rPr>
      </w:pPr>
    </w:p>
    <w:p>
      <w:pPr>
        <w:ind w:right="140" w:firstLine="524"/>
        <w:spacing w:after="0" w:line="268" w:lineRule="auto"/>
        <w:rPr>
          <w:sz w:val="20"/>
          <w:szCs w:val="20"/>
          <w:color w:val="auto"/>
        </w:rPr>
      </w:pPr>
      <w:r>
        <w:rPr>
          <w:rFonts w:ascii="Times New Roman" w:cs="Times New Roman" w:eastAsia="Times New Roman" w:hAnsi="Times New Roman"/>
          <w:sz w:val="17"/>
          <w:szCs w:val="17"/>
          <w:color w:val="auto"/>
        </w:rPr>
        <w:t>ProKidney IPCo. is party to a consulting services agreement with Nefro Health (“Nefro”), an Irish partnership controlled and majority-owned by Mr. Pablo Legorreta, a director of the Company and a significant shareholder,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ProKidney-KY has paid Nefro an aggregate of $25,000 for each of the three months ended March 31, 2026 and 2025,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w:t>
      </w:r>
    </w:p>
    <w:p>
      <w:pPr>
        <w:ind w:right="120" w:firstLine="8"/>
        <w:spacing w:after="0" w:line="253" w:lineRule="auto"/>
        <w:tabs>
          <w:tab w:leader="none" w:pos="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 IPCo. will be obligated to pay Nefro any earned but unpaid consulting fee as of the termination 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Services Agreement between ProKidney-US and Nefro Health</w:t>
      </w:r>
    </w:p>
    <w:p>
      <w:pPr>
        <w:spacing w:after="0" w:line="119" w:lineRule="exact"/>
        <w:rPr>
          <w:sz w:val="20"/>
          <w:szCs w:val="20"/>
          <w:color w:val="auto"/>
        </w:rPr>
      </w:pPr>
    </w:p>
    <w:p>
      <w:pPr>
        <w:ind w:right="40" w:firstLine="524"/>
        <w:spacing w:after="0" w:line="253" w:lineRule="auto"/>
        <w:rPr>
          <w:sz w:val="20"/>
          <w:szCs w:val="20"/>
          <w:color w:val="auto"/>
        </w:rPr>
      </w:pPr>
      <w:r>
        <w:rPr>
          <w:rFonts w:ascii="Times New Roman" w:cs="Times New Roman" w:eastAsia="Times New Roman" w:hAnsi="Times New Roman"/>
          <w:sz w:val="18"/>
          <w:szCs w:val="18"/>
          <w:color w:val="auto"/>
        </w:rPr>
        <w:t>ProKidney-US is party to a consulting services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ProKidney-US has paid Nefro an aggregate of $25,000 for each of the three months ended March 31, 2026 and 2025,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w:t>
      </w:r>
    </w:p>
    <w:p>
      <w:pPr>
        <w:spacing w:after="0" w:line="3" w:lineRule="exact"/>
        <w:rPr>
          <w:sz w:val="20"/>
          <w:szCs w:val="20"/>
          <w:color w:val="auto"/>
        </w:rPr>
      </w:pPr>
    </w:p>
    <w:p>
      <w:pPr>
        <w:ind w:right="120" w:firstLine="8"/>
        <w:spacing w:after="0" w:line="253" w:lineRule="auto"/>
        <w:tabs>
          <w:tab w:leader="none" w:pos="3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tab/>
        <w:t>Redeemable Noncontrolling Interest</w:t>
      </w:r>
    </w:p>
    <w:p>
      <w:pPr>
        <w:spacing w:after="0" w:line="121" w:lineRule="exact"/>
        <w:rPr>
          <w:sz w:val="20"/>
          <w:szCs w:val="20"/>
          <w:color w:val="auto"/>
        </w:rPr>
      </w:pPr>
    </w:p>
    <w:p>
      <w:pPr>
        <w:ind w:right="140" w:firstLine="524"/>
        <w:spacing w:after="0" w:line="261" w:lineRule="auto"/>
        <w:rPr>
          <w:sz w:val="20"/>
          <w:szCs w:val="20"/>
          <w:color w:val="auto"/>
        </w:rPr>
      </w:pPr>
      <w:r>
        <w:rPr>
          <w:rFonts w:ascii="Times New Roman" w:cs="Times New Roman" w:eastAsia="Times New Roman" w:hAnsi="Times New Roman"/>
          <w:sz w:val="18"/>
          <w:szCs w:val="18"/>
          <w:color w:val="auto"/>
        </w:rPr>
        <w:t>The Company is subject to the Exchange Agreement with respect to the Post-Combination ProKidney Common Units representing the outstanding 53.0% noncontrolling interest in PK Holdings (prior to the Domestication PKLP) (see Note 1). The</w:t>
      </w: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Exchange Agreement requires the surrender of an equal number of Post-Combination ProKidney Common Units and shares of Class B common stock for</w:t>
      </w:r>
    </w:p>
    <w:p>
      <w:pPr>
        <w:spacing w:after="0" w:line="27" w:lineRule="exact"/>
        <w:rPr>
          <w:sz w:val="20"/>
          <w:szCs w:val="20"/>
          <w:color w:val="auto"/>
        </w:rPr>
      </w:pPr>
    </w:p>
    <w:p>
      <w:pPr>
        <w:ind w:firstLine="8"/>
        <w:spacing w:after="0" w:line="253"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on a one-for-one basis or (ii) cash (based on the fair market value of the Class A common stock as determined pursuant to the Exchange Agreement), at the Company’s option (as the managing member of PK Holdings), subject to customary conversion rate adjustments for share splits, share dividends and reclassifications. The exchange value is determined based on a five-day VWAP of the Class A common stock as defined in the Exchange Agreement, subject to customary conversion rate adjustments for share splits, share dividends and reclassifications.</w:t>
      </w:r>
    </w:p>
    <w:p>
      <w:pPr>
        <w:spacing w:after="0" w:line="81" w:lineRule="exact"/>
        <w:rPr>
          <w:sz w:val="20"/>
          <w:szCs w:val="20"/>
          <w:color w:val="auto"/>
        </w:rPr>
      </w:pPr>
    </w:p>
    <w:p>
      <w:pPr>
        <w:ind w:right="180" w:firstLine="524"/>
        <w:spacing w:after="0" w:line="261" w:lineRule="auto"/>
        <w:rPr>
          <w:sz w:val="20"/>
          <w:szCs w:val="20"/>
          <w:color w:val="auto"/>
        </w:rPr>
      </w:pPr>
      <w:r>
        <w:rPr>
          <w:rFonts w:ascii="Times New Roman" w:cs="Times New Roman" w:eastAsia="Times New Roman" w:hAnsi="Times New Roman"/>
          <w:sz w:val="18"/>
          <w:szCs w:val="18"/>
          <w:color w:val="auto"/>
        </w:rPr>
        <w:t>The redeemable noncontrolling interest is recognized at the higher of (1) its initial fair value plus accumulated earnings/losses associated with the noncontrolling interest or (2) the redemption value as of the balance sheet date. At March 31, 2026, the redeemable noncontrolling interest was recorded based on its initial fair value plus accumulated losses associated with the noncontrolling interest which was higher than the redemption value as of the balance sheet date.</w:t>
      </w:r>
    </w:p>
    <w:p>
      <w:pPr>
        <w:spacing w:after="0" w:line="72" w:lineRule="exact"/>
        <w:rPr>
          <w:sz w:val="20"/>
          <w:szCs w:val="20"/>
          <w:color w:val="auto"/>
        </w:rPr>
      </w:pPr>
    </w:p>
    <w:p>
      <w:pPr>
        <w:ind w:right="140" w:firstLine="524"/>
        <w:spacing w:after="0" w:line="266" w:lineRule="auto"/>
        <w:rPr>
          <w:sz w:val="20"/>
          <w:szCs w:val="20"/>
          <w:color w:val="auto"/>
        </w:rPr>
      </w:pPr>
      <w:r>
        <w:rPr>
          <w:rFonts w:ascii="Times New Roman" w:cs="Times New Roman" w:eastAsia="Times New Roman" w:hAnsi="Times New Roman"/>
          <w:sz w:val="18"/>
          <w:szCs w:val="18"/>
          <w:color w:val="auto"/>
        </w:rPr>
        <w:t>Changes in the Company’s ownership interest in PK Holdings while the Company retains its controlling interest in PK Holdings are accounted for as equity transactions, and the Company is required to adjust noncontrolling interest and equity for such changes. The following is a summary of net income attributable to the Company and transfers to noncontrolling interest (in thousands):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available to Class A common stockholders</w:t>
            </w:r>
          </w:p>
        </w:tc>
        <w:tc>
          <w:tcPr>
            <w:tcW w:w="1280" w:type="dxa"/>
            <w:vAlign w:val="bottom"/>
            <w:shd w:val="clear" w:color="auto" w:fill="CFF0FC"/>
          </w:tcPr>
          <w:p>
            <w:pPr>
              <w:jc w:val="right"/>
              <w:ind w:right="11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(20,037)</w:t>
            </w:r>
          </w:p>
        </w:tc>
        <w:tc>
          <w:tcPr>
            <w:tcW w:w="1400" w:type="dxa"/>
            <w:vAlign w:val="bottom"/>
            <w:shd w:val="clear" w:color="auto" w:fill="CFF0FC"/>
          </w:tcPr>
          <w:p>
            <w:pPr>
              <w:jc w:val="right"/>
              <w:ind w:right="12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7"/>
              </w:rPr>
              <w:t>(16,734)</w:t>
            </w:r>
          </w:p>
        </w:tc>
        <w:tc>
          <w:tcPr>
            <w:tcW w:w="0" w:type="dxa"/>
            <w:vAlign w:val="bottom"/>
          </w:tcPr>
          <w:p>
            <w:pPr>
              <w:spacing w:after="0"/>
              <w:rPr>
                <w:sz w:val="1"/>
                <w:szCs w:val="1"/>
                <w:color w:val="auto"/>
              </w:rPr>
            </w:pPr>
          </w:p>
        </w:tc>
      </w:tr>
      <w:tr>
        <w:trPr>
          <w:trHeight w:val="198"/>
        </w:trPr>
        <w:tc>
          <w:tcPr>
            <w:tcW w:w="6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(Increase)/Decrease in ProKidney Corp. accumulated deficit for impact of</w:t>
            </w: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subsidiary equity-based compensation</w:t>
            </w:r>
          </w:p>
        </w:tc>
        <w:tc>
          <w:tcPr>
            <w:tcW w:w="1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1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(Increase)/Decrease in ProKidney Corp. additional paid-in capital for exchange</w:t>
            </w:r>
          </w:p>
        </w:tc>
        <w:tc>
          <w:tcPr>
            <w:tcW w:w="1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Common Units in PK Holdings for Class A common stock</w:t>
            </w:r>
          </w:p>
        </w:tc>
        <w:tc>
          <w:tcPr>
            <w:tcW w:w="1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4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(2,418)</w:t>
            </w:r>
          </w:p>
        </w:tc>
        <w:tc>
          <w:tcPr>
            <w:tcW w:w="0" w:type="dxa"/>
            <w:vAlign w:val="bottom"/>
          </w:tcPr>
          <w:p>
            <w:pPr>
              <w:spacing w:after="0"/>
              <w:rPr>
                <w:sz w:val="1"/>
                <w:szCs w:val="1"/>
                <w:color w:val="auto"/>
              </w:rPr>
            </w:pPr>
          </w:p>
        </w:tc>
      </w:tr>
      <w:tr>
        <w:trPr>
          <w:trHeight w:val="198"/>
        </w:trPr>
        <w:tc>
          <w:tcPr>
            <w:tcW w:w="6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(Increase)/Decrease in ProKidney Corp. additional paid-in capital for vesting of</w:t>
            </w:r>
          </w:p>
        </w:tc>
        <w:tc>
          <w:tcPr>
            <w:tcW w:w="1280" w:type="dxa"/>
            <w:vAlign w:val="bottom"/>
          </w:tcPr>
          <w:p>
            <w:pPr>
              <w:spacing w:after="0"/>
              <w:rPr>
                <w:sz w:val="17"/>
                <w:szCs w:val="17"/>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(2,515)</w:t>
            </w:r>
          </w:p>
        </w:tc>
        <w:tc>
          <w:tcPr>
            <w:tcW w:w="1400" w:type="dxa"/>
            <w:vAlign w:val="bottom"/>
          </w:tcPr>
          <w:p>
            <w:pPr>
              <w:spacing w:after="0"/>
              <w:rPr>
                <w:sz w:val="17"/>
                <w:szCs w:val="17"/>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(5,173)</w:t>
            </w:r>
          </w:p>
        </w:tc>
        <w:tc>
          <w:tcPr>
            <w:tcW w:w="0" w:type="dxa"/>
            <w:vAlign w:val="bottom"/>
          </w:tcPr>
          <w:p>
            <w:pPr>
              <w:spacing w:after="0"/>
              <w:rPr>
                <w:sz w:val="1"/>
                <w:szCs w:val="1"/>
                <w:color w:val="auto"/>
              </w:rPr>
            </w:pPr>
          </w:p>
        </w:tc>
      </w:tr>
      <w:tr>
        <w:trPr>
          <w:trHeight w:val="221"/>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Common Units in PK Holdings</w:t>
            </w:r>
          </w:p>
        </w:tc>
        <w:tc>
          <w:tcPr>
            <w:tcW w:w="12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1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Change from net loss available to Class A common stockholders and change</w:t>
            </w:r>
          </w:p>
        </w:tc>
        <w:tc>
          <w:tcPr>
            <w:tcW w:w="1280" w:type="dxa"/>
            <w:vAlign w:val="bottom"/>
            <w:vMerge w:val="restart"/>
            <w:shd w:val="clear" w:color="auto" w:fill="CFF0FC"/>
          </w:tcPr>
          <w:p>
            <w:pPr>
              <w:jc w:val="right"/>
              <w:ind w:right="11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(22,433)</w:t>
            </w:r>
          </w:p>
        </w:tc>
        <w:tc>
          <w:tcPr>
            <w:tcW w:w="1400" w:type="dxa"/>
            <w:vAlign w:val="bottom"/>
            <w:vMerge w:val="restart"/>
            <w:shd w:val="clear" w:color="auto" w:fill="CFF0FC"/>
          </w:tcPr>
          <w:p>
            <w:pPr>
              <w:jc w:val="right"/>
              <w:ind w:right="12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7"/>
              </w:rPr>
              <w:t>(23,508)</w:t>
            </w:r>
          </w:p>
        </w:tc>
        <w:tc>
          <w:tcPr>
            <w:tcW w:w="0" w:type="dxa"/>
            <w:vAlign w:val="bottom"/>
          </w:tcPr>
          <w:p>
            <w:pPr>
              <w:spacing w:after="0"/>
              <w:rPr>
                <w:sz w:val="1"/>
                <w:szCs w:val="1"/>
                <w:color w:val="auto"/>
              </w:rPr>
            </w:pPr>
          </w:p>
        </w:tc>
      </w:tr>
      <w:tr>
        <w:trPr>
          <w:trHeight w:val="214"/>
        </w:trPr>
        <w:tc>
          <w:tcPr>
            <w:tcW w:w="61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in ownership interest in PK Holdings</w:t>
            </w:r>
          </w:p>
        </w:tc>
        <w:tc>
          <w:tcPr>
            <w:tcW w:w="1280" w:type="dxa"/>
            <w:vAlign w:val="bottom"/>
            <w:vMerge w:val="continue"/>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-25400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-25400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28" w:lineRule="exact"/>
        <w:rPr>
          <w:sz w:val="20"/>
          <w:szCs w:val="20"/>
          <w:color w:val="auto"/>
        </w:rPr>
      </w:pPr>
    </w:p>
    <w:p>
      <w:pPr>
        <w:ind w:right="160" w:firstLine="594"/>
        <w:spacing w:after="0" w:line="237" w:lineRule="auto"/>
        <w:rPr>
          <w:sz w:val="20"/>
          <w:szCs w:val="20"/>
          <w:color w:val="auto"/>
        </w:rPr>
      </w:pPr>
      <w:r>
        <w:rPr>
          <w:rFonts w:ascii="Times New Roman" w:cs="Times New Roman" w:eastAsia="Times New Roman" w:hAnsi="Times New Roman"/>
          <w:sz w:val="18"/>
          <w:szCs w:val="18"/>
          <w:color w:val="auto"/>
        </w:rPr>
        <w:t>In January 2024,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“2024 Sales Agreement”) with Jefferies LLC (“Jefferies”) as the sales agent, pursuant to which the Company may offer and sell, from time to time, through Jefferies, shares of its Class A common stock having an aggregate offering price of up to $100,000,000 by any method deemed to be an “at the market offering” as defined in Rule 415(a)(4) under the Securities Act of 1933 as amended (the “Securities Act”). The shares are offered and sold pursuant to the Company’s shelf registration statement on Form S-3.</w:t>
      </w:r>
    </w:p>
    <w:p>
      <w:pPr>
        <w:spacing w:after="0" w:line="93" w:lineRule="exact"/>
        <w:rPr>
          <w:sz w:val="20"/>
          <w:szCs w:val="20"/>
          <w:color w:val="auto"/>
        </w:rPr>
      </w:pPr>
    </w:p>
    <w:p>
      <w:pPr>
        <w:ind w:right="220" w:firstLine="524"/>
        <w:spacing w:after="0" w:line="266" w:lineRule="auto"/>
        <w:rPr>
          <w:sz w:val="20"/>
          <w:szCs w:val="20"/>
          <w:color w:val="auto"/>
        </w:rPr>
      </w:pPr>
      <w:r>
        <w:rPr>
          <w:rFonts w:ascii="Times New Roman" w:cs="Times New Roman" w:eastAsia="Times New Roman" w:hAnsi="Times New Roman"/>
          <w:sz w:val="18"/>
          <w:szCs w:val="18"/>
          <w:color w:val="auto"/>
        </w:rPr>
        <w:t>On July 14, 2025, the Company terminated the 2024 Sales Agreement with Jefferies and entered into a new Open Market Sales Agreement</w:t>
      </w:r>
      <w:r>
        <w:rPr>
          <w:rFonts w:ascii="Times New Roman" w:cs="Times New Roman" w:eastAsia="Times New Roman" w:hAnsi="Times New Roman"/>
          <w:sz w:val="9"/>
          <w:szCs w:val="9"/>
          <w:color w:val="auto"/>
        </w:rPr>
        <w:t>SM</w:t>
      </w:r>
      <w:r>
        <w:rPr>
          <w:rFonts w:ascii="Times New Roman" w:cs="Times New Roman" w:eastAsia="Times New Roman" w:hAnsi="Times New Roman"/>
          <w:sz w:val="18"/>
          <w:szCs w:val="18"/>
          <w:color w:val="auto"/>
        </w:rPr>
        <w:t xml:space="preserve"> (the “2025 Sales Agreement”) with Jefferies, pursuant to which the Company may offer and sell, from time to time, shares (the “Shares”) of its Class A common stock having an aggregate offering price of up to $200,000,000 through Jefferies, acting as agent.</w:t>
      </w:r>
    </w:p>
    <w:p>
      <w:pPr>
        <w:spacing w:after="0" w:line="68"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8"/>
          <w:szCs w:val="18"/>
          <w:color w:val="auto"/>
        </w:rPr>
        <w:t>Pursuant to the 2025 Sales Agreement, sales of the Shares may be made by any method permitted that is deemed to be an “at the market” offering as defined in Rule 415(a)(4) under the Securities Act, in ordinary brokers’ transactions, to or through a market maker, on or through The Nasdaq Capital Market or any other market venue where the securities may be traded, in the over-the-counter market, in privately negotiated transactions or through a combination of any such methods of sale. Under the 2025 Sales Agreement, Jefferies will be entitled to compensation of up to 3.0% of the gross offering proceeds of all Shares sold through it pursuant to the 2025 Sales Agreement. The Company will also reimburse Jefferies for certain specified expenses in connection with entering into the 2025 Sales Agreement. The Company has no obligation to sell any of the Shares under the 2025 Sales Agreement and may at any time and from time to time suspend the offering of the Shares under the 2025 Sales Agreement.</w:t>
      </w:r>
    </w:p>
    <w:p>
      <w:pPr>
        <w:spacing w:after="0" w:line="81" w:lineRule="exact"/>
        <w:rPr>
          <w:sz w:val="20"/>
          <w:szCs w:val="20"/>
          <w:color w:val="auto"/>
        </w:rPr>
      </w:pPr>
    </w:p>
    <w:p>
      <w:pPr>
        <w:ind w:right="260" w:firstLine="59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did not sell any shares under the 2024 Sales Agreement. During the three months ended March 31, 2026, the Company sold 2,798 shares under the 2025 Sales Agreement for net proceeds of $7,000.</w:t>
      </w:r>
    </w:p>
    <w:p>
      <w:pPr>
        <w:spacing w:after="0" w:line="54" w:lineRule="exact"/>
        <w:rPr>
          <w:sz w:val="20"/>
          <w:szCs w:val="20"/>
          <w:color w:val="auto"/>
        </w:rPr>
      </w:pPr>
    </w:p>
    <w:p>
      <w:pPr>
        <w:ind w:right="280" w:firstLine="594"/>
        <w:spacing w:after="0" w:line="257" w:lineRule="auto"/>
        <w:rPr>
          <w:sz w:val="20"/>
          <w:szCs w:val="20"/>
          <w:color w:val="auto"/>
        </w:rPr>
      </w:pPr>
      <w:r>
        <w:rPr>
          <w:rFonts w:ascii="Times New Roman" w:cs="Times New Roman" w:eastAsia="Times New Roman" w:hAnsi="Times New Roman"/>
          <w:sz w:val="18"/>
          <w:szCs w:val="18"/>
          <w:color w:val="auto"/>
        </w:rPr>
        <w:t>On April 28, 2026, Control Empresarial de Capitales, S.A. de C.V. exchanged 63,118,645 Post-Combination ProKidney Common Units and an equal number of shares of Class B common stock of the Company on a one-for-one basis for shares of Class A common stock of the Company. This exchange occurred pursuant to the terms of the Exchange Agreement discussed in Note 6.</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tab/>
        <w:t>Net Loss per Share</w:t>
      </w:r>
    </w:p>
    <w:p>
      <w:pPr>
        <w:spacing w:after="0" w:line="121" w:lineRule="exact"/>
        <w:rPr>
          <w:sz w:val="20"/>
          <w:szCs w:val="20"/>
          <w:color w:val="auto"/>
        </w:rPr>
      </w:pPr>
    </w:p>
    <w:p>
      <w:pPr>
        <w:ind w:right="100" w:firstLine="524"/>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Class A common stockholders by the weighted-average shares of the Class A common stock outstanding without the consideration for potential dilutive securities. Diluted net loss per share represents basic net loss per share adjusted to include the effects of all potentially dilutive shares. Diluted net loss per share is the same as basic loss per share for all periods as the inclusion of potentially issuable shares would be antidilutive.</w:t>
      </w:r>
    </w:p>
    <w:p>
      <w:pPr>
        <w:spacing w:after="0" w:line="72" w:lineRule="exact"/>
        <w:rPr>
          <w:sz w:val="20"/>
          <w:szCs w:val="20"/>
          <w:color w:val="auto"/>
        </w:rPr>
      </w:pPr>
    </w:p>
    <w:p>
      <w:pPr>
        <w:ind w:right="480"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the three months ended March 31, 2026 and 2025 (in thousands, except share and per share amounts):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(42,621)</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20" w:type="dxa"/>
            <w:vAlign w:val="bottom"/>
            <w:shd w:val="clear" w:color="auto" w:fill="CFF0FC"/>
          </w:tcPr>
          <w:p>
            <w:pPr>
              <w:spacing w:after="0"/>
              <w:rPr>
                <w:sz w:val="18"/>
                <w:szCs w:val="18"/>
                <w:color w:val="auto"/>
              </w:rPr>
            </w:pPr>
          </w:p>
        </w:tc>
        <w:tc>
          <w:tcPr>
            <w:tcW w:w="16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(22,584)</w:t>
            </w:r>
          </w:p>
        </w:tc>
        <w:tc>
          <w:tcPr>
            <w:tcW w:w="4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(21,218)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2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6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Net loss available to Class A common stockholders of ProKidney Corp.,</w:t>
            </w:r>
          </w:p>
        </w:tc>
        <w:tc>
          <w:tcPr>
            <w:tcW w:w="220" w:type="dxa"/>
            <w:vAlign w:val="bottom"/>
            <w:vMerge w:val="restart"/>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(20,037)</w:t>
            </w: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(16,734)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Class A common stock of ProKidney Corp. outstanding,</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141,925,099</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126,976,366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FF0FC"/>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Class A common stock</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92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Class A common stock of ProKidney Corp., basic and</w:t>
            </w:r>
          </w:p>
        </w:tc>
        <w:tc>
          <w:tcPr>
            <w:tcW w:w="220" w:type="dxa"/>
            <w:vAlign w:val="bottom"/>
            <w:vMerge w:val="restart"/>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(0.14)</w:t>
            </w: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92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7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Outstanding anti-dilutive securities not included in the diluted net loss per share calculation include the following:</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0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Antidilutive securities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ProKidney Corp. Class B common stock</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159,973,334</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163,161,681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Unvested Restricted Stock Rights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260" w:type="dxa"/>
            <w:vAlign w:val="bottom"/>
            <w:tcBorders>
              <w:right w:val="single" w:sz="8" w:color="CFF0FC"/>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799,856</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Earnout Rights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right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 options granted under the 2022 Equity Incentive Plan</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38,518,662</w:t>
            </w:r>
          </w:p>
        </w:tc>
        <w:tc>
          <w:tcPr>
            <w:tcW w:w="260" w:type="dxa"/>
            <w:vAlign w:val="bottom"/>
            <w:tcBorders>
              <w:right w:val="single" w:sz="8" w:color="CFF0FC"/>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30,383,917</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-2639695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-2639695</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-1671320</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-1671320</wp:posOffset>
            </wp:positionV>
            <wp:extent cx="596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Incentive Equity Plan</w:t>
      </w:r>
    </w:p>
    <w:p>
      <w:pPr>
        <w:spacing w:after="0" w:line="119" w:lineRule="exact"/>
        <w:rPr>
          <w:sz w:val="20"/>
          <w:szCs w:val="20"/>
          <w:color w:val="auto"/>
        </w:rPr>
      </w:pPr>
    </w:p>
    <w:p>
      <w:pPr>
        <w:ind w:firstLine="524"/>
        <w:spacing w:after="0" w:line="256" w:lineRule="auto"/>
        <w:rPr>
          <w:sz w:val="20"/>
          <w:szCs w:val="20"/>
          <w:color w:val="auto"/>
        </w:rPr>
      </w:pPr>
      <w:r>
        <w:rPr>
          <w:rFonts w:ascii="Times New Roman" w:cs="Times New Roman" w:eastAsia="Times New Roman" w:hAnsi="Times New Roman"/>
          <w:sz w:val="18"/>
          <w:szCs w:val="18"/>
          <w:color w:val="auto"/>
        </w:rPr>
        <w:t>On July 11, 2022, the stockholders of the Company approved the ProKidney Corp. 2022 Incentive Equity Plan (the “2022 Plan”) which provides for the issuance of equity-based awards to the Company’s employees, non-employee directors, individual consultants, advisors and other service providers. The 2022 Plan provides for the issuance of equity awards in the form of incentive stock options, which are intended to satisfy the requirements of Section 422 of the Internal Revenue Code of 1986, as amended, or nonqualified stock options, which are not intended to meet those requirements, stock appreciation rights, restricted stock, restricted stock units, performance awards or other cash or stock-based awards as determined appropriate by the plan administrator. In settlement of its obligations under this plan, the Company will issue new shares of Class A common stock.</w:t>
      </w:r>
    </w:p>
    <w:p>
      <w:pPr>
        <w:spacing w:after="0" w:line="79" w:lineRule="exact"/>
        <w:rPr>
          <w:sz w:val="20"/>
          <w:szCs w:val="20"/>
          <w:color w:val="auto"/>
        </w:rPr>
      </w:pPr>
    </w:p>
    <w:p>
      <w:pPr>
        <w:ind w:firstLine="524"/>
        <w:spacing w:after="0" w:line="266" w:lineRule="auto"/>
        <w:rPr>
          <w:sz w:val="20"/>
          <w:szCs w:val="20"/>
          <w:color w:val="auto"/>
        </w:rPr>
      </w:pPr>
      <w:r>
        <w:rPr>
          <w:rFonts w:ascii="Times New Roman" w:cs="Times New Roman" w:eastAsia="Times New Roman" w:hAnsi="Times New Roman"/>
          <w:sz w:val="18"/>
          <w:szCs w:val="18"/>
          <w:color w:val="auto"/>
        </w:rPr>
        <w:t>The Company has issued incentive and non-qualified stock option awards under the 2022 Plan to certain employees, individual consultants and non-employee directors of the Company. Given that the Company has established a full valuation allowance against its deferred tax assets, the Company has recognized no tax benefit related to these awards.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Time-Vested Awards</w:t>
      </w:r>
    </w:p>
    <w:p>
      <w:pPr>
        <w:spacing w:after="0" w:line="121" w:lineRule="exact"/>
        <w:rPr>
          <w:sz w:val="20"/>
          <w:szCs w:val="20"/>
          <w:color w:val="auto"/>
        </w:rPr>
      </w:pPr>
    </w:p>
    <w:p>
      <w:pPr>
        <w:ind w:right="40" w:firstLine="524"/>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option pricing model to calculate the fair value of time-vested stock options granted. These awards generally vest ratably over a three or four-year period and the option awards expire after a term of ten years from the date of grant. The fair value of stock options granted was estimated using the following assumptions during the three months ended March 31, 2026: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0" w:name="page21"/>
    <w:bookmarkEnd w:id="20"/>
    <w:tbl>
      <w:tblPr>
        <w:tblLayout w:type="fixed"/>
        <w:tblInd w:w="34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60" w:type="dxa"/>
            <w:vAlign w:val="bottom"/>
          </w:tcPr>
          <w:p>
            <w:pPr>
              <w:spacing w:after="0"/>
              <w:rPr>
                <w:sz w:val="18"/>
                <w:szCs w:val="18"/>
                <w:color w:val="auto"/>
              </w:rPr>
            </w:pPr>
          </w:p>
        </w:tc>
      </w:tr>
      <w:tr>
        <w:trPr>
          <w:trHeight w:val="238"/>
        </w:trPr>
        <w:tc>
          <w:tcPr>
            <w:tcW w:w="4700" w:type="dxa"/>
            <w:vAlign w:val="bottom"/>
          </w:tcPr>
          <w:p>
            <w:pPr>
              <w:spacing w:after="0"/>
              <w:rPr>
                <w:sz w:val="20"/>
                <w:szCs w:val="20"/>
                <w:color w:val="auto"/>
              </w:rPr>
            </w:pPr>
          </w:p>
        </w:tc>
        <w:tc>
          <w:tcPr>
            <w:tcW w:w="282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82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- 126.7%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- 99.7%</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w:t>
            </w: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8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0.0%</w:t>
            </w:r>
          </w:p>
        </w:tc>
        <w:tc>
          <w:tcPr>
            <w:tcW w:w="3040" w:type="dxa"/>
            <w:vAlign w:val="bottom"/>
            <w:gridSpan w:val="3"/>
          </w:tcPr>
          <w:p>
            <w:pPr>
              <w:jc w:val="right"/>
              <w:ind w:right="1130"/>
              <w:spacing w:after="0"/>
              <w:rPr>
                <w:sz w:val="20"/>
                <w:szCs w:val="20"/>
                <w:color w:val="auto"/>
              </w:rPr>
            </w:pPr>
            <w:r>
              <w:rPr>
                <w:rFonts w:ascii="Times New Roman" w:cs="Times New Roman" w:eastAsia="Times New Roman" w:hAnsi="Times New Roman"/>
                <w:sz w:val="18"/>
                <w:szCs w:val="18"/>
                <w:color w:val="auto"/>
              </w:rPr>
              <w:t>0.0%</w:t>
            </w:r>
          </w:p>
        </w:tc>
      </w:tr>
    </w:tbl>
    <w:p>
      <w:pPr>
        <w:spacing w:after="0" w:line="71"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Company’s time-vested stock option awards granted under the 2022 Plan for the three months ended March 31, 2026:</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0"/>
        </w:trPr>
        <w:tc>
          <w:tcPr>
            <w:tcW w:w="2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Time-vested options outstanding at January 1, 2026</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27,455,514</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10,875,929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(157,960)</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(936,071)</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Time-vested options outstanding at March 31, 2026</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37,237,412</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7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Time-vested options exercisable at March 31, 2026</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13,284,601</w:t>
            </w:r>
          </w:p>
        </w:tc>
        <w:tc>
          <w:tcPr>
            <w:tcW w:w="260" w:type="dxa"/>
            <w:vAlign w:val="bottom"/>
          </w:tcPr>
          <w:p>
            <w:pPr>
              <w:spacing w:after="0"/>
              <w:rPr>
                <w:sz w:val="17"/>
                <w:szCs w:val="17"/>
                <w:color w:val="auto"/>
              </w:rPr>
            </w:pPr>
          </w:p>
        </w:tc>
        <w:tc>
          <w:tcPr>
            <w:tcW w:w="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7.2 years</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Time-vested options vested and expected to vest at March 31, 2026</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37,237,412</w:t>
            </w:r>
          </w:p>
        </w:tc>
        <w:tc>
          <w:tcPr>
            <w:tcW w:w="2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8.4 years</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-574040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-556895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-574040</wp:posOffset>
            </wp:positionV>
            <wp:extent cx="596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-556895</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total unrecognized stock-based compensation expense of approximately $42,215,000 related to the time-vested grants under the 2022 Plan, which is expected to be recognized on a straight-line basis over a weighted average period of 3.0 years. The weighted average grant date fair value for the option grants during the three months ended March 31, 2026 and 2025 was $1.99 and $1.00, respectively.</w:t>
      </w:r>
    </w:p>
    <w:p>
      <w:pPr>
        <w:spacing w:after="0" w:line="6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the in-the-money time-vested awards outstanding and those exercisable as of March 31, 2026 was $7,411,000 and $1,842,000,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issued stock options to certain of its employees which vest based on the achievement of both operational performance metrics and service rendered over a specific time period. The following table summarizes the activity related to the Company’s performance-based stock option awards granted under the 2022 Plan for the three months ended March 31, 2026:</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722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r>
      <w:tr>
        <w:trPr>
          <w:trHeight w:val="21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Performance-based options outstanding at January 1, 2026</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1,281,250</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spacing w:after="0"/>
              <w:rPr>
                <w:sz w:val="18"/>
                <w:szCs w:val="18"/>
                <w:color w:val="auto"/>
              </w:rPr>
            </w:pPr>
          </w:p>
        </w:tc>
      </w:tr>
      <w:tr>
        <w:trPr>
          <w:trHeight w:val="21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options outstanding at March 31, 2026</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1,281,250</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2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Performance-based options exercisable at March 31, 2026</w:t>
            </w:r>
          </w:p>
        </w:tc>
        <w:tc>
          <w:tcPr>
            <w:tcW w:w="1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781,250</w:t>
            </w:r>
          </w:p>
        </w:tc>
        <w:tc>
          <w:tcPr>
            <w:tcW w:w="400" w:type="dxa"/>
            <w:vAlign w:val="bottom"/>
            <w:gridSpan w:val="2"/>
            <w:shd w:val="clear" w:color="auto" w:fill="CFF0FC"/>
          </w:tcPr>
          <w:p>
            <w:pPr>
              <w:ind w:lef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FF0FC"/>
          </w:tcPr>
          <w:p>
            <w:pPr>
              <w:spacing w:after="0"/>
              <w:rPr>
                <w:sz w:val="17"/>
                <w:szCs w:val="17"/>
                <w:color w:val="auto"/>
              </w:rPr>
            </w:pP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years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Performance-based options vested and expected to vest at March 31, 2026</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1,281,250</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spacing w:after="0"/>
              <w:rPr>
                <w:sz w:val="18"/>
                <w:szCs w:val="18"/>
                <w:color w:val="auto"/>
              </w:rPr>
            </w:pPr>
          </w:p>
        </w:tc>
      </w:tr>
      <w:tr>
        <w:trPr>
          <w:trHeight w:val="234"/>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years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the Company had no remaining unrecognized stock-based compensation expense related to its performance-based awards.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Profits Interests</w:t>
      </w:r>
    </w:p>
    <w:p>
      <w:pPr>
        <w:spacing w:after="0" w:line="121" w:lineRule="exact"/>
        <w:rPr>
          <w:sz w:val="20"/>
          <w:szCs w:val="20"/>
          <w:color w:val="auto"/>
        </w:rPr>
      </w:pPr>
    </w:p>
    <w:p>
      <w:pPr>
        <w:jc w:val="both"/>
        <w:ind w:right="100" w:firstLine="524"/>
        <w:spacing w:after="0" w:line="266" w:lineRule="auto"/>
        <w:rPr>
          <w:sz w:val="20"/>
          <w:szCs w:val="20"/>
          <w:color w:val="auto"/>
        </w:rPr>
      </w:pPr>
      <w:r>
        <w:rPr>
          <w:rFonts w:ascii="Times New Roman" w:cs="Times New Roman" w:eastAsia="Times New Roman" w:hAnsi="Times New Roman"/>
          <w:sz w:val="18"/>
          <w:szCs w:val="18"/>
          <w:color w:val="auto"/>
        </w:rPr>
        <w:t>In periods prior to the Business Combination, the Company issued Profits Interests (as defined in the The Deed for the Establishment of a Limited Partnership of PKLP, dated as of August 5, 2021 (the “Limited Partnership Agreement”)) to employees, directors, other service providers of the Company and others.</w:t>
      </w:r>
    </w:p>
    <w:p>
      <w:pPr>
        <w:spacing w:after="0" w:line="68" w:lineRule="exact"/>
        <w:rPr>
          <w:sz w:val="20"/>
          <w:szCs w:val="20"/>
          <w:color w:val="auto"/>
        </w:rPr>
      </w:pPr>
    </w:p>
    <w:p>
      <w:pPr>
        <w:jc w:val="both"/>
        <w:ind w:right="40" w:firstLine="524"/>
        <w:spacing w:after="0" w:line="255" w:lineRule="auto"/>
        <w:rPr>
          <w:sz w:val="20"/>
          <w:szCs w:val="20"/>
          <w:color w:val="auto"/>
        </w:rPr>
      </w:pPr>
      <w:r>
        <w:rPr>
          <w:rFonts w:ascii="Times New Roman" w:cs="Times New Roman" w:eastAsia="Times New Roman" w:hAnsi="Times New Roman"/>
          <w:sz w:val="18"/>
          <w:szCs w:val="18"/>
          <w:color w:val="auto"/>
        </w:rPr>
        <w:t>The Profits Interests vest at a rate of 25% on the latter of the first anniversary of employment and the first anniversary of January 17, 2022 with the remaining 75% to vest in increments of 25% on each anniversary following the first anniversary date, ratably over a three or four-year period from the date of grant, in annual installments of 33.3% over the three-year period from the date of grant, in increments of 6.25% each calendar quarter following the first anniversary date, or were fully vested upon issuance.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1" w:name="page22"/>
    <w:bookmarkEnd w:id="21"/>
    <w:p>
      <w:pPr>
        <w:ind w:right="180" w:firstLine="524"/>
        <w:spacing w:after="0" w:line="282" w:lineRule="auto"/>
        <w:rPr>
          <w:sz w:val="20"/>
          <w:szCs w:val="20"/>
          <w:color w:val="auto"/>
        </w:rPr>
      </w:pPr>
      <w:r>
        <w:rPr>
          <w:rFonts w:ascii="Times New Roman" w:cs="Times New Roman" w:eastAsia="Times New Roman" w:hAnsi="Times New Roman"/>
          <w:sz w:val="18"/>
          <w:szCs w:val="18"/>
          <w:color w:val="auto"/>
        </w:rPr>
        <w:t>Upon consummation of the Domestication and other Restructuring transactions, PK Holdings issued Restricted Common Units to the then-current holders of the Profits Interest awards subject to the same provisions as existed prior to the Domestication.</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Profits Interest awards for the three months ended March 31, 2026:</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16"/>
        </w:trPr>
        <w:tc>
          <w:tcPr>
            <w:tcW w:w="7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722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30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awards outstanding at January 1, 2026</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733,252</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(723,163)</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8"/>
                <w:szCs w:val="18"/>
                <w:color w:val="auto"/>
              </w:rPr>
            </w:pPr>
          </w:p>
        </w:tc>
      </w:tr>
      <w:tr>
        <w:trPr>
          <w:trHeight w:val="250"/>
        </w:trPr>
        <w:tc>
          <w:tcPr>
            <w:tcW w:w="7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awards outstanding at March 31, 2026</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As of March 31, 2026, the unrecognized compensation expense related to these awards was insignificant.</w:t>
      </w:r>
    </w:p>
    <w:p>
      <w:pPr>
        <w:spacing w:after="0" w:line="117" w:lineRule="exact"/>
        <w:rPr>
          <w:sz w:val="20"/>
          <w:szCs w:val="20"/>
          <w:color w:val="auto"/>
        </w:rPr>
      </w:pPr>
    </w:p>
    <w:p>
      <w:pPr>
        <w:ind w:right="200" w:firstLine="524"/>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the unvested profits interests outstanding at March 31, 2026 was insignificant. The aggregate fair value of profits interests vested during the three months ended March 31, 2026 and 2025 was $1,656,000 and $1,575,000,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ind w:right="200" w:firstLine="524"/>
        <w:spacing w:after="0" w:line="282" w:lineRule="auto"/>
        <w:rPr>
          <w:sz w:val="20"/>
          <w:szCs w:val="20"/>
          <w:color w:val="auto"/>
        </w:rPr>
      </w:pPr>
      <w:r>
        <w:rPr>
          <w:rFonts w:ascii="Times New Roman" w:cs="Times New Roman" w:eastAsia="Times New Roman" w:hAnsi="Times New Roman"/>
          <w:sz w:val="18"/>
          <w:szCs w:val="18"/>
          <w:color w:val="auto"/>
        </w:rPr>
        <w:t>Compensation expense related to equity-based awards is included in research and development and general and administrative expense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7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20" w:type="dxa"/>
            <w:vAlign w:val="bottom"/>
            <w:gridSpan w:val="2"/>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740" w:type="dxa"/>
            <w:vAlign w:val="bottom"/>
            <w:gridSpan w:val="2"/>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36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Pr>
          <w:p>
            <w:pPr>
              <w:spacing w:after="0"/>
              <w:rPr>
                <w:sz w:val="18"/>
                <w:szCs w:val="18"/>
                <w:color w:val="auto"/>
              </w:rPr>
            </w:pPr>
          </w:p>
        </w:tc>
      </w:tr>
      <w:tr>
        <w:trPr>
          <w:trHeight w:val="230"/>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3220" w:type="dxa"/>
            <w:vAlign w:val="bottom"/>
            <w:gridSpan w:val="2"/>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740" w:type="dxa"/>
            <w:vAlign w:val="bottom"/>
            <w:gridSpan w:val="2"/>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shd w:val="clear" w:color="auto" w:fill="CFF0FC"/>
          </w:tcPr>
          <w:p>
            <w:pPr>
              <w:spacing w:after="0"/>
              <w:rPr>
                <w:sz w:val="19"/>
                <w:szCs w:val="19"/>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our equity-based compensation by type of award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35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320" w:type="dxa"/>
            <w:vAlign w:val="bottom"/>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Time-vested stock options</w:t>
            </w:r>
          </w:p>
        </w:tc>
        <w:tc>
          <w:tcPr>
            <w:tcW w:w="1320" w:type="dxa"/>
            <w:vAlign w:val="bottom"/>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640" w:type="dxa"/>
            <w:vAlign w:val="bottom"/>
            <w:gridSpan w:val="2"/>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stock options</w:t>
            </w:r>
          </w:p>
        </w:tc>
        <w:tc>
          <w:tcPr>
            <w:tcW w:w="1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6"/>
        </w:trPr>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Legacy profits interests</w:t>
            </w:r>
          </w:p>
        </w:tc>
        <w:tc>
          <w:tcPr>
            <w:tcW w:w="13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34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64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-170815</wp:posOffset>
            </wp:positionV>
            <wp:extent cx="596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Segment Information</w:t>
      </w:r>
    </w:p>
    <w:p>
      <w:pPr>
        <w:spacing w:after="0" w:line="121" w:lineRule="exact"/>
        <w:rPr>
          <w:sz w:val="20"/>
          <w:szCs w:val="20"/>
          <w:color w:val="auto"/>
        </w:rPr>
      </w:pPr>
    </w:p>
    <w:p>
      <w:pPr>
        <w:ind w:right="260" w:firstLine="524"/>
        <w:spacing w:after="0" w:line="261" w:lineRule="auto"/>
        <w:rPr>
          <w:sz w:val="20"/>
          <w:szCs w:val="20"/>
          <w:color w:val="auto"/>
        </w:rPr>
      </w:pPr>
      <w:r>
        <w:rPr>
          <w:rFonts w:ascii="Times New Roman" w:cs="Times New Roman" w:eastAsia="Times New Roman" w:hAnsi="Times New Roman"/>
          <w:sz w:val="18"/>
          <w:szCs w:val="18"/>
          <w:color w:val="auto"/>
        </w:rPr>
        <w:t>We regularly review our operating segments and the approach used by management to evaluate performance and allocate resources. We manage our business as a single operating segment. The Company’s Chief Executive Officer is considered to be the Company’s chief operating decision maker under the requirements of Topic 280 of the ASC “Segments”. The primary measure of profit/loss reviewed by the chief operating decision maker (“CODM”) is net loss before noncontrolling interest.</w:t>
      </w:r>
    </w:p>
    <w:p>
      <w:pPr>
        <w:spacing w:after="0" w:line="72" w:lineRule="exact"/>
        <w:rPr>
          <w:sz w:val="20"/>
          <w:szCs w:val="20"/>
          <w:color w:val="auto"/>
        </w:rPr>
      </w:pPr>
    </w:p>
    <w:p>
      <w:pPr>
        <w:ind w:right="280" w:firstLine="524"/>
        <w:spacing w:after="0" w:line="266" w:lineRule="auto"/>
        <w:rPr>
          <w:sz w:val="20"/>
          <w:szCs w:val="20"/>
          <w:color w:val="auto"/>
        </w:rPr>
      </w:pPr>
      <w:r>
        <w:rPr>
          <w:rFonts w:ascii="Times New Roman" w:cs="Times New Roman" w:eastAsia="Times New Roman" w:hAnsi="Times New Roman"/>
          <w:sz w:val="18"/>
          <w:szCs w:val="18"/>
          <w:color w:val="auto"/>
        </w:rPr>
        <w:t>The Company does not have any product candidates approved for sale and has not generated any revenue from product sales. The Company recognizes lease revenue related to lease agreements held with certain third parties which leased space in the buildings which also house the Company’s manufacturing operations.</w:t>
      </w:r>
    </w:p>
    <w:p>
      <w:pPr>
        <w:spacing w:after="0" w:line="68" w:lineRule="exact"/>
        <w:rPr>
          <w:sz w:val="20"/>
          <w:szCs w:val="20"/>
          <w:color w:val="auto"/>
        </w:rPr>
      </w:pPr>
    </w:p>
    <w:p>
      <w:pPr>
        <w:ind w:right="140" w:firstLine="524"/>
        <w:spacing w:after="0" w:line="257" w:lineRule="auto"/>
        <w:rPr>
          <w:sz w:val="20"/>
          <w:szCs w:val="20"/>
          <w:color w:val="auto"/>
        </w:rPr>
      </w:pPr>
      <w:r>
        <w:rPr>
          <w:rFonts w:ascii="Times New Roman" w:cs="Times New Roman" w:eastAsia="Times New Roman" w:hAnsi="Times New Roman"/>
          <w:sz w:val="18"/>
          <w:szCs w:val="18"/>
          <w:color w:val="auto"/>
        </w:rPr>
        <w:t>We manage our assets on a total company basis, not by operating segment. Therefore, our CODM does not regularly review any asset information other than total Company assets. See the Company’s Condensed Consolidated Balance Sheets for total assets. The majority of the Company’s long-lived assets are located in the United States.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left="200"/>
        <w:spacing w:after="0"/>
        <w:rPr>
          <w:sz w:val="20"/>
          <w:szCs w:val="20"/>
          <w:color w:val="auto"/>
        </w:rPr>
      </w:pPr>
      <w:r>
        <w:rPr>
          <w:rFonts w:ascii="Times New Roman" w:cs="Times New Roman" w:eastAsia="Times New Roman" w:hAnsi="Times New Roman"/>
          <w:sz w:val="18"/>
          <w:szCs w:val="18"/>
          <w:color w:val="auto"/>
        </w:rPr>
        <w:t>The following table provides selected income statement information for our single reportable segment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54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38"/>
        </w:trPr>
        <w:tc>
          <w:tcPr>
            <w:tcW w:w="49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310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(42,621)</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(37,952)</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Rental income</w:t>
            </w:r>
          </w:p>
        </w:tc>
        <w:tc>
          <w:tcPr>
            <w:tcW w:w="2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2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provides significant expense categories that are regularly reported to the CODM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354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38"/>
        </w:trPr>
        <w:tc>
          <w:tcPr>
            <w:tcW w:w="70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FF0FC"/>
          </w:tcPr>
          <w:p>
            <w:pPr>
              <w:spacing w:after="0"/>
              <w:rPr>
                <w:sz w:val="18"/>
                <w:szCs w:val="18"/>
                <w:color w:val="auto"/>
              </w:rPr>
            </w:pPr>
          </w:p>
        </w:tc>
      </w:tr>
      <w:tr>
        <w:trPr>
          <w:trHeight w:val="432"/>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expense</w:t>
            </w: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00" w:type="dxa"/>
            <w:vAlign w:val="bottom"/>
          </w:tcPr>
          <w:p>
            <w:pPr>
              <w:spacing w:after="0"/>
              <w:rPr>
                <w:sz w:val="24"/>
                <w:szCs w:val="24"/>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compensation</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Cash operating expenses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100" w:type="dxa"/>
            <w:vAlign w:val="bottom"/>
          </w:tcPr>
          <w:p>
            <w:pPr>
              <w:spacing w:after="0"/>
              <w:rPr>
                <w:sz w:val="18"/>
                <w:szCs w:val="18"/>
                <w:color w:val="auto"/>
              </w:rPr>
            </w:pPr>
          </w:p>
        </w:tc>
      </w:tr>
      <w:tr>
        <w:trPr>
          <w:trHeight w:val="216"/>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items (1)</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(42,621)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(37,952)</w:t>
            </w:r>
          </w:p>
        </w:tc>
      </w:tr>
      <w:tr>
        <w:trPr>
          <w:trHeight w:val="20"/>
        </w:trPr>
        <w:tc>
          <w:tcPr>
            <w:tcW w:w="70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-170815</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-170815</wp:posOffset>
            </wp:positionV>
            <wp:extent cx="596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left="5200" w:right="2600" w:hanging="5023"/>
        <w:spacing w:after="0" w:line="532" w:lineRule="auto"/>
        <w:tabs>
          <w:tab w:leader="none" w:pos="6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primarily include interest income, equity-based compensation and depreciation.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307975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093" w:right="6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As used in this Quarterly Report on Form 10-Q, the “Company”, the “Registrant”, “we” or “us” refer to ProKidney Corp. and its subsidiaries. The following discussion and analysis of our financial condition and results of operations should be read in conjunction with our unaudited condensed consolidated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in the Risk Factors section of the Annual Report on Form 10-K for the year ended December 31, 2025, filed with the Securities and Exchange Commission (the “SEC”) on March 18, 2026,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firstLine="524"/>
        <w:spacing w:after="0" w:line="254" w:lineRule="auto"/>
        <w:rPr>
          <w:sz w:val="20"/>
          <w:szCs w:val="20"/>
          <w:color w:val="auto"/>
        </w:rPr>
      </w:pPr>
      <w:r>
        <w:rPr>
          <w:rFonts w:ascii="Times New Roman" w:cs="Times New Roman" w:eastAsia="Times New Roman" w:hAnsi="Times New Roman"/>
          <w:sz w:val="18"/>
          <w:szCs w:val="18"/>
          <w:color w:val="auto"/>
        </w:rPr>
        <w:t>We are a late-clinical-stage biotechnology company pioneering the development of a first-in-class, autologous cell therapy that is intended to preserve kidney function in patients with advanced chronic kidney disease (“CKD”) and diabetes. Our approach seeks to redefine the treatment of CKD, shifting the emphasis away from management of kidney failure to the preservation of kidney function. Our lead product candidate, rilparencel, is the only cell therapy in Phase 3 clinical study for the treatment of advanced CKD and type 2 diabetes. Rilparencel is a product that includes autologous Selected Renal Cells (“SRC”) prepared from a patient’s own (autologous) kidney cells. The SRC are formulated as rilparencel for reinjection into the patient’s kidneys using a minimally invasive outpatient procedure. Because rilparencel is a personalized product composed of cells prepared from a patient’s own kidney, there is no need for treatment with immunosuppressive therapies that are required during a patient’s lifetime when a patient receives a kidney transplant from another (allogeneic) donor.</w:t>
      </w:r>
    </w:p>
    <w:p>
      <w:pPr>
        <w:spacing w:after="0" w:line="84" w:lineRule="exact"/>
        <w:rPr>
          <w:sz w:val="20"/>
          <w:szCs w:val="20"/>
          <w:color w:val="auto"/>
        </w:rPr>
      </w:pPr>
    </w:p>
    <w:p>
      <w:pPr>
        <w:ind w:right="60" w:firstLine="524"/>
        <w:spacing w:after="0" w:line="258" w:lineRule="auto"/>
        <w:rPr>
          <w:sz w:val="20"/>
          <w:szCs w:val="20"/>
          <w:color w:val="auto"/>
        </w:rPr>
      </w:pPr>
      <w:r>
        <w:rPr>
          <w:rFonts w:ascii="Times New Roman" w:cs="Times New Roman" w:eastAsia="Times New Roman" w:hAnsi="Times New Roman"/>
          <w:sz w:val="18"/>
          <w:szCs w:val="18"/>
          <w:color w:val="auto"/>
        </w:rPr>
        <w:t>We are currently conducting a Phase 3 clinical study for rilparencel in subjects with advanced CKD and type 2 diabetes and have completed two Phase 2 clinical studies for rilparencel in subjects with advanced CKD and diabetes. Rilparencel has received regenerative medicine advanced therapy (“RMAT”) designation from the United States Food and Drug Administration (the “FDA”), a status granted to accelerate the development and review of promising regenerative medicine therapies. Rilparencel has, to date, been generally well tolerated by subjects with moderate to severe CKD in Phase 1 and 2 clinical testing.</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our company, business and scientific planning, conducting discovery and research activities, establishing and protecting our intellectual property portfolio, developing and progressing rilparencel, raising capital, sponsoring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w:t>
      </w:r>
    </w:p>
    <w:p>
      <w:pPr>
        <w:spacing w:after="0" w:line="7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Effective July 1, 2025, ProKidney Corp. completed a domestication process through which it changed its jurisdiction of incorporation from the Cayman Islands to the State of Delaware (the “Domestication”). In connection with and subsequent to the Domestication, we also entered into a series of other transactions to both change the jurisdiction of incorporation of our foreign subsidiaries to the State of Delaware and streamline our operating subsidiaries from a tax perspective (collectively, the “Restructuring”).</w:t>
      </w:r>
    </w:p>
    <w:p>
      <w:pPr>
        <w:spacing w:after="0" w:line="72" w:lineRule="exact"/>
        <w:rPr>
          <w:sz w:val="20"/>
          <w:szCs w:val="20"/>
          <w:color w:val="auto"/>
        </w:rPr>
      </w:pPr>
    </w:p>
    <w:p>
      <w:pPr>
        <w:ind w:right="100" w:firstLine="524"/>
        <w:spacing w:after="0" w:line="258" w:lineRule="auto"/>
        <w:rPr>
          <w:sz w:val="20"/>
          <w:szCs w:val="20"/>
          <w:color w:val="auto"/>
        </w:rPr>
      </w:pPr>
      <w:r>
        <w:rPr>
          <w:rFonts w:ascii="Times New Roman" w:cs="Times New Roman" w:eastAsia="Times New Roman" w:hAnsi="Times New Roman"/>
          <w:sz w:val="18"/>
          <w:szCs w:val="18"/>
          <w:color w:val="auto"/>
        </w:rPr>
        <w:t>For presentation purposes, unless otherwise noted, references to common stock refer to “ordinary shares” before the Domestication and “common stock” subsequent to the Domestication. Similarly, unless otherwise noted, references to PK Holdings LLC (“PK Holdings”) herein refer to ProKidney LP (“PKLP”) prior to the Domestication and PK Holdings subsequent to the Domestication and references to ProKidney IPCo, LLC (“ProKidney IPCo.”) herein refer to ProKidney, a Cayman Islands exempted company (“ProKidney-KY”) prior to the Domestication and ProKidney IPCo. subsequent to the Domestication.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PROACT 1</w:t>
      </w:r>
    </w:p>
    <w:p>
      <w:pPr>
        <w:spacing w:after="0" w:line="121" w:lineRule="exact"/>
        <w:rPr>
          <w:sz w:val="20"/>
          <w:szCs w:val="20"/>
          <w:color w:val="auto"/>
        </w:rPr>
      </w:pPr>
    </w:p>
    <w:p>
      <w:pPr>
        <w:ind w:left="5540" w:right="2160" w:hanging="5016"/>
        <w:spacing w:after="0" w:line="282" w:lineRule="auto"/>
        <w:rPr>
          <w:sz w:val="20"/>
          <w:szCs w:val="20"/>
          <w:color w:val="auto"/>
        </w:rPr>
      </w:pPr>
      <w:r>
        <w:rPr>
          <w:rFonts w:ascii="Times New Roman" w:cs="Times New Roman" w:eastAsia="Times New Roman" w:hAnsi="Times New Roman"/>
          <w:sz w:val="18"/>
          <w:szCs w:val="18"/>
          <w:color w:val="auto"/>
        </w:rPr>
        <w:t>REGEN-006 (PROACT 1) is an ongoing Phase 3, randomized, blinded, bi-lateral kidney dosing, sham controlled arm,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4" w:name="page25"/>
    <w:bookmarkEnd w:id="24"/>
    <w:p>
      <w:pPr>
        <w:ind w:right="700"/>
        <w:spacing w:after="0" w:line="225" w:lineRule="auto"/>
        <w:rPr>
          <w:sz w:val="20"/>
          <w:szCs w:val="20"/>
          <w:color w:val="auto"/>
        </w:rPr>
      </w:pPr>
      <w:r>
        <w:rPr>
          <w:rFonts w:ascii="Times New Roman" w:cs="Times New Roman" w:eastAsia="Times New Roman" w:hAnsi="Times New Roman"/>
          <w:sz w:val="18"/>
          <w:szCs w:val="18"/>
          <w:color w:val="auto"/>
        </w:rPr>
        <w:t>efficacy and safety study of rilparencel in subjects with advanced CKD and type 2 diabetes. The related study protocol has been amended to focus on a subset of patients with Stage 4 CKD (estimated glomerular filtration rate (“eGFR”) between 20 and 30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and late Stage 3b CKD (eGFR between 30 and 35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with accompanying albuminuria UACR between 300 and 5000 mg/g). This study is being conducted in clinical centers in the United States, Mexico, and Taiwan.</w:t>
      </w:r>
    </w:p>
    <w:p>
      <w:pPr>
        <w:spacing w:after="0" w:line="93" w:lineRule="exact"/>
        <w:rPr>
          <w:sz w:val="20"/>
          <w:szCs w:val="20"/>
          <w:color w:val="auto"/>
        </w:rPr>
      </w:pPr>
    </w:p>
    <w:p>
      <w:pPr>
        <w:ind w:right="620" w:firstLine="509"/>
        <w:spacing w:after="0" w:line="263" w:lineRule="auto"/>
        <w:rPr>
          <w:sz w:val="20"/>
          <w:szCs w:val="20"/>
          <w:color w:val="auto"/>
        </w:rPr>
      </w:pPr>
      <w:r>
        <w:rPr>
          <w:rFonts w:ascii="Times New Roman" w:cs="Times New Roman" w:eastAsia="Times New Roman" w:hAnsi="Times New Roman"/>
          <w:sz w:val="18"/>
          <w:szCs w:val="18"/>
          <w:color w:val="auto"/>
        </w:rPr>
        <w:t>The primary objective of this study is to assess the efficacy of up to two rilparencel injections given three months apart and delivered into both kidneys using a minimally invasive percutaneous approach with a targeted enrollment of approximately 470 patients. Subjects are randomized (1:1) to the treatment group and the sham control group prior to kidney biopsy. Subjects in the treatment group will receive two injections of rilparencel of 3x10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cells/g-KW</w:t>
      </w:r>
      <w:r>
        <w:rPr>
          <w:rFonts w:ascii="Times New Roman" w:cs="Times New Roman" w:eastAsia="Times New Roman" w:hAnsi="Times New Roman"/>
          <w:sz w:val="24"/>
          <w:szCs w:val="24"/>
          <w:color w:val="auto"/>
          <w:vertAlign w:val="superscript"/>
        </w:rPr>
        <w:t>est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right="1040" w:firstLine="509"/>
        <w:spacing w:after="0" w:line="282" w:lineRule="auto"/>
        <w:rPr>
          <w:sz w:val="20"/>
          <w:szCs w:val="20"/>
          <w:color w:val="auto"/>
        </w:rPr>
      </w:pPr>
      <w:r>
        <w:rPr>
          <w:rFonts w:ascii="Times New Roman" w:cs="Times New Roman" w:eastAsia="Times New Roman" w:hAnsi="Times New Roman"/>
          <w:sz w:val="18"/>
          <w:szCs w:val="18"/>
          <w:color w:val="auto"/>
        </w:rPr>
        <w:t>The surrogate endpoint to support a potential accelerated approval of rilparencel is annualized eGFR slope. The efficacy analysis set is expected to contain approximately 320 patients and will include all patients with at least six months of follow-up after first injection.</w:t>
      </w:r>
    </w:p>
    <w:p>
      <w:pPr>
        <w:spacing w:after="0" w:line="54"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We anticipate topline data readout of the surrogate endpoint (eGFR slope) in the second quarter of 2027 and anticipate topline data readout of the confirmatory endpoint (composite time-to-event) in the second half of 2029.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the sale of products since our inception and do not expect to generate any revenue from the sale of products in the near future, if at all. If our development efforts for rilparencel or any other product candidates are successful and result in marketing approval, or if we enter into collaboration or license agreements with third parties, we may generate revenue in the future from a combination of product sales or payments from such agreements.</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related to leasing activities associated with existing lease agreements assumed through the acquisition of two buildings in Winston-Salem, North Carolina where we also conduct our manufacturing operations.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our research and development activities, including the development of rilparencel.</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costs include:</w:t>
      </w:r>
    </w:p>
    <w:p>
      <w:pPr>
        <w:spacing w:after="0" w:line="11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CROs and other scientific development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other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and acquiring and developing clinical trial materials;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stock-based compensation expenses, for individuals involved in research and development activities;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insurance and other internal operating costs.</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balance sheets as prepaid clinical or as a component of total accrued expenses and other. Nonrefundable advance payments for goods or services to be received in the future for use in research and development activities are deferred and capitalized, even when there is no alternative future use for the research and development. The capitalized amounts are recorded as prepaid clinical and are expensed as the related goods are delivered or the services are performed.</w:t>
      </w:r>
    </w:p>
    <w:p>
      <w:pPr>
        <w:spacing w:after="0" w:line="18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increase as we continue to enroll patients in the PROACT 1 study then trend downward as we near completion.</w:t>
      </w: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firstLine="554"/>
        <w:spacing w:after="0" w:line="258" w:lineRule="auto"/>
        <w:rPr>
          <w:sz w:val="20"/>
          <w:szCs w:val="20"/>
          <w:color w:val="auto"/>
        </w:rPr>
      </w:pPr>
      <w:r>
        <w:rPr>
          <w:rFonts w:ascii="Times New Roman" w:cs="Times New Roman" w:eastAsia="Times New Roman" w:hAnsi="Times New Roman"/>
          <w:sz w:val="18"/>
          <w:szCs w:val="18"/>
          <w:color w:val="auto"/>
        </w:rPr>
        <w:t>The successful development of rilparencel and any product candidates we may develop in the future is highly uncertain. Therefore, we cannot reasonably estimate or know the nature, timing and estimated costs of the efforts that will be necessary to complete the development and commercialization of any of our product candidates. We are also unable to predict when, if ever, material net cash inflows will commence from the sale of rilparencel or potential future product candidates, if approved. This is due to the numerous risks and uncertainties associated with developing product candidates, many of which are outside of our control, including the uncertainty of:</w:t>
      </w:r>
    </w:p>
    <w:p>
      <w:pPr>
        <w:spacing w:after="0" w:line="75"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and patients involved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of, clinical trials, as well as drop out or discontinuation rates;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FDA and comparable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patient claims or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rilparencel over other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rilparencel, if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rilparencel following approval.</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Any changes in the outcome of any of these variables could mean a significant change in the costs and timing associated with the development of our product candidates.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equity-based compensation expenses for individuals involved in our executive, finance, corporate and administrative functions, as well as expenses for outside professional services, including legal, audit, accounting and tax-related services and other consulting fees, facility-related expenses, which include depreciation costs and other allocated expenses for rent and maintenance of facilities, insurance costs, recruiting costs, travel expenses and other general administrative expenses.</w:t>
      </w:r>
    </w:p>
    <w:p>
      <w:pPr>
        <w:spacing w:after="0" w:line="7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for the foreseeable future as our business expands and we hire additional personnel to support our operations.</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consists primarily of interest income earned on cash, cash equivalents and marketable securities.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Prior to the Domestication and other Restructuring transactions, income tax expense reflects federal and state taxes on income earned by our subsidiary that is organized as a C corporation for U.S. income tax purposes.</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Domestication and other Restructuring transactions resulted in the Company becoming subject to corporate level income taxes in the U.S. Further, the Post-Domestication Reorganization, which was effective on September 1, 2025, resulted in certain of the Company’s subsidiaries becoming part of a consolidated group and ProKidney-US becoming disregarded as separate from its owner, “PK Holdings” for U.S. federal income tax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60" w:type="dxa"/>
            <w:vAlign w:val="bottom"/>
            <w:gridSpan w:val="9"/>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32"/>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33,842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45,159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41,618</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(41,388)</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(42,621)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(37,361)</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(42,621)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(37,952)</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(21,218)</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available to Class A common stockholders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(20,037)</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(16,734)</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-1174115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-1174115</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-1174115</wp:posOffset>
            </wp:positionV>
            <wp:extent cx="596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-599440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-599440</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-599440</wp:posOffset>
            </wp:positionV>
            <wp:extent cx="596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increase in research and development expenses of $6.6 million was primarily due to the following:</w:t>
      </w:r>
    </w:p>
    <w:p>
      <w:pPr>
        <w:spacing w:after="0" w:line="117" w:lineRule="exact"/>
        <w:rPr>
          <w:sz w:val="20"/>
          <w:szCs w:val="20"/>
          <w:color w:val="auto"/>
        </w:rPr>
      </w:pPr>
    </w:p>
    <w:p>
      <w:pPr>
        <w:ind w:left="1020" w:right="16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clinical study costs and cost of manufacturing materials for our ongoing Phase 3 trial (PROACT 1) of $6.5 million driven by continued enrollment and increased activities for the trial;</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compensation costs of approximately $1.2 million due to the hiring of additional personnel; offset by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clinical study costs of $1.6 million related to clinical trials that have been completed or terminated.</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decrease in general and administrative expenses of approximately $3.0 million was primarily driven by the following:</w:t>
      </w:r>
    </w:p>
    <w:p>
      <w:pPr>
        <w:spacing w:after="0" w:line="27" w:lineRule="exact"/>
        <w:rPr>
          <w:sz w:val="20"/>
          <w:szCs w:val="20"/>
          <w:color w:val="auto"/>
        </w:rPr>
      </w:pPr>
    </w:p>
    <w:p>
      <w:pPr>
        <w:ind w:left="1020" w:right="8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equity-based compensation of approximately $1.2 million due to the completion of vesting for legacy profit interests awards issued prior to the business combination and forfeitures of awards;</w:t>
      </w:r>
    </w:p>
    <w:p>
      <w:pPr>
        <w:ind w:left="1020" w:right="66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professional fees and other operating costs of approximately $1.4 million driven by ongoing initiatives including the Domestication and Restructuring transactions in 2025; and</w:t>
      </w:r>
    </w:p>
    <w:p>
      <w:pPr>
        <w:ind w:left="1020" w:right="460" w:hanging="503"/>
        <w:spacing w:after="0" w:line="26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cash-based compensation of approximately $0.5 million related to reductions in severance amounts paid for terminated employees.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decrease in interest income of approximately $1.7 million was driven primarily by lower investment balances and interest rates for the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 in income tax expense was driven by the Domestication and Restructuring that occurred in 2025.</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7" w:right="5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From our inception through March 31, 2026, we funded our operations primarily through capital contributions from the holders of PKLP, the proceeds obtained through the Business Combination and related private placement financing, and public equity offerings.</w:t>
      </w:r>
    </w:p>
    <w:p>
      <w:pPr>
        <w:spacing w:after="0" w:line="79" w:lineRule="exact"/>
        <w:rPr>
          <w:sz w:val="20"/>
          <w:szCs w:val="20"/>
          <w:color w:val="auto"/>
        </w:rPr>
      </w:pPr>
    </w:p>
    <w:p>
      <w:pPr>
        <w:ind w:right="120" w:firstLine="509"/>
        <w:spacing w:after="0" w:line="237" w:lineRule="auto"/>
        <w:rPr>
          <w:sz w:val="20"/>
          <w:szCs w:val="20"/>
          <w:color w:val="auto"/>
        </w:rPr>
      </w:pPr>
      <w:r>
        <w:rPr>
          <w:rFonts w:ascii="Times New Roman" w:cs="Times New Roman" w:eastAsia="Times New Roman" w:hAnsi="Times New Roman"/>
          <w:sz w:val="18"/>
          <w:szCs w:val="18"/>
          <w:color w:val="auto"/>
        </w:rPr>
        <w:t>In January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(“2024 Sales Agreement”) with Jefferies LLC (“Jefferies”) as the sales agent, pursuant to which we could offer and sell, from time to time, through Jefferies, shares of our Class A common stock having an aggregate offering price of up to $100.0 million by any method deemed to be an “at the market offering” as defined in Rule 415(a)(4) under the Securities Act of 1933, as amended (the “Securities Act”). The shares were offered and sold pursuant to our shelf registration statement on Form S-3.</w:t>
      </w:r>
    </w:p>
    <w:p>
      <w:pPr>
        <w:spacing w:after="0" w:line="100" w:lineRule="exact"/>
        <w:rPr>
          <w:sz w:val="20"/>
          <w:szCs w:val="20"/>
          <w:color w:val="auto"/>
        </w:rPr>
      </w:pPr>
    </w:p>
    <w:p>
      <w:pPr>
        <w:ind w:right="120" w:firstLine="594"/>
        <w:spacing w:after="0" w:line="242" w:lineRule="auto"/>
        <w:rPr>
          <w:sz w:val="20"/>
          <w:szCs w:val="20"/>
          <w:color w:val="auto"/>
        </w:rPr>
      </w:pPr>
      <w:r>
        <w:rPr>
          <w:rFonts w:ascii="Times New Roman" w:cs="Times New Roman" w:eastAsia="Times New Roman" w:hAnsi="Times New Roman"/>
          <w:sz w:val="18"/>
          <w:szCs w:val="18"/>
          <w:color w:val="auto"/>
        </w:rPr>
        <w:t>In July 2025, we terminated the 2024 Sales Agreement and entered into a new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(“2025 Sales Agreement”) with Jefferies, as the sales agent, pursuant to which we may offer and sell, from time to time, through Jefferies, shares of our Class A common stock having an aggregate offering price of up to $200.0 million by any method deemed to be an “at the market offering” as defined in Rule 415(a)(4) under the Securities Act. The shares are offered and sold pursuant to our shelf registration statement on Form S-3. During the three months ended March 31, 2026, we sold an insignificant number of shares of our Class A common stock under the 2025 Sales Agreement. As of March 31, 2026, there was approximately $175.0 million remaining available to be sold under the 2025 Sales Agreement.</w:t>
      </w:r>
    </w:p>
    <w:p>
      <w:pPr>
        <w:spacing w:after="0" w:line="8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held at March 31, 2026, will enable us to fund our operating expenses and capital expenditure requirements into mid-2027. We have based this estimate on assumptions that may prove to be wrong and we could exhaust our capital resources sooner than we expect.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to increase substantially if, and as, we:</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and clinical development of our product candidates, including in particular our clinical trials for rilparencel;</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third-party manufacturing costs to support our nonclinical studies and clinical trials of our product candidate and, if approved, its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in developing internal manufacturing capabilities;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our product candidates.</w:t>
      </w:r>
    </w:p>
    <w:p>
      <w:pPr>
        <w:spacing w:after="0" w:line="11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since the closing of the Business Combination we have begun incurring additional costs associated with operating as a public company, including significant legal, audit, accounting, investor and public relations, regulatory, tax-related, director and officer insurance premiums and other expenses.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product that we do not expect to be commercially available for at least several years, if ever.</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stockholders.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technology, future revenue streams, research programs or product candidates or may have to grant licenses on terms that may not be favorable to us and/or may reduce the value of our shares. Our ability to raise additional funds may be adversely impacted by potential worsening global economic conditions and disruptions to and volatility in the credit and financial markets in the United States and worldwide. Because of the numerous risks and uncertainties associated with product development, we cannot predict the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timing or amount of increased expenses, and there is no assurance that we will ever be profitable or generate positive cash flow from operating activities.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for the Three Months Ended March 31, 2026 and 2025</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2026 and 2025 (in thousands):</w:t>
      </w:r>
    </w:p>
    <w:p>
      <w:pPr>
        <w:sectPr>
          <w:pgSz w:w="11900" w:h="16838" w:orient="portrait"/>
          <w:cols w:equalWidth="0" w:num="1">
            <w:col w:w="11220"/>
          </w:cols>
          <w:pgMar w:left="320" w:top="109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cash flows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cash flows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jc w:val="right"/>
        <w:ind w:right="138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p>
      <w:pPr>
        <w:spacing w:after="0" w:line="4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3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(41,684)</w:t>
            </w:r>
          </w:p>
        </w:tc>
        <w:tc>
          <w:tcPr>
            <w:tcW w:w="22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(29,592)</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28,289</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0" w:lineRule="exact"/>
        <w:rPr>
          <w:sz w:val="20"/>
          <w:szCs w:val="20"/>
          <w:color w:val="auto"/>
        </w:rPr>
      </w:pPr>
    </w:p>
    <w:p>
      <w:pPr>
        <w:sectPr>
          <w:pgSz w:w="11900" w:h="16838" w:orient="portrait"/>
          <w:cols w:equalWidth="0" w:num="2">
            <w:col w:w="6600" w:space="720"/>
            <w:col w:w="3900"/>
          </w:cols>
          <w:pgMar w:left="320" w:top="1093" w:right="359" w:bottom="1440" w:gutter="0" w:footer="0" w:header="0"/>
          <w:type w:val="continuous"/>
        </w:sect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approximately $41.7 million for the three months ended March 31, 2026, reflecting a net loss of approximately $42.6 million. The net loss was partially offset by non-cash charges and gains on investments of approximately $6.2 million. The non-cash charges primarily consisted of equity-based compensation expense of $4.9 million, depreciation and amortization expense of $1.7 million and were partially offset by gains on marketable securities of $0.4 million. Changes in working capital resulted in an additional use of cash of approximately $5.3 million primarily relate to the timing of payments made to our vendors for services performed and the recognition of receivable amounts related to interest on our marketable security investments.</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approximately $29.6 million for the three months ended March 31, 2025, reflecting net loss of $38.0 million, and uses driven by changes in working capital of approximately $1.1 million and non-cash charges and gains on investments of $1.1 million. The non-cash charges primarily consisted of equity-based compensation expense of $6.4 million and depreciation and amortization expense of $1.6 million, which were partially offset by gains on marketable securities of $1.1 million.</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approximately $12.1 million increase in cash used in operating activities for the three months ended March 31, 2026 compared to the three months ended March 31, 2025 was primarily driven by higher net loss and an increase in the use of cash related to the timing of payments to our vendors and receipt of interest due.</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approximately $34.8 million and $28.3 million for the three months ended March 31, 2026 and 2025, respectively. The cash provided by investing activities during the three months ended March 31, 2026 and 2025 was primarily related to timing of the conversion of investments to cash and cash equivalents or use to fund our operations.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of $0.2 million was primarily related to the sale of our Class A common stock through stock option exercises. The cash provided by financing activities during the three months ended March 31, 2025 was insignificant.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Trends and Uncertainties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continue to monitor the impacts of ongoing macroeconomic conditions and geopolitical events. An escalation of geopolitical tensions or the implementation of global trade restrictions, including tariff actions, could adversely impact our business, financial condition or results of operations. Global conflicts, tariffs, labor disruptions, and regulatory developments continue to create volatility in global markets and contribute to supply chain shortages and pricing volatility. We continue to actively collaborate with our suppliers to monitor and, where possible, mitigate shortages and reduce supply and price volatility.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640" w:firstLine="509"/>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condensed consolidated financial statements. Our condensed consolidated financial statements are prepared in accordance with GAAP. The</w:t>
      </w: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type w:val="continuous"/>
        </w:sectPr>
      </w:pPr>
    </w:p>
    <w:bookmarkStart w:id="29" w:name="page30"/>
    <w:bookmarkEnd w:id="29"/>
    <w:p>
      <w:pPr>
        <w:ind w:right="40"/>
        <w:spacing w:after="0" w:line="258" w:lineRule="auto"/>
        <w:rPr>
          <w:sz w:val="20"/>
          <w:szCs w:val="20"/>
          <w:color w:val="auto"/>
        </w:rPr>
      </w:pPr>
      <w:r>
        <w:rPr>
          <w:rFonts w:ascii="Times New Roman" w:cs="Times New Roman" w:eastAsia="Times New Roman" w:hAnsi="Times New Roman"/>
          <w:sz w:val="18"/>
          <w:szCs w:val="18"/>
          <w:color w:val="auto"/>
        </w:rPr>
        <w:t>preparation of our condensed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7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to our unaudited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unaudited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common stock less attractive to investors.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578"/>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as of March 31, 2026. Based upon that evaluation, our Chief Executive Officer and Chief Financial Officer concluded that, as of March 31, 2026,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79" w:lineRule="exact"/>
        <w:rPr>
          <w:sz w:val="20"/>
          <w:szCs w:val="20"/>
          <w:color w:val="auto"/>
        </w:rPr>
      </w:pPr>
    </w:p>
    <w:p>
      <w:pPr>
        <w:ind w:firstLine="578"/>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81" w:lineRule="exact"/>
        <w:rPr>
          <w:sz w:val="20"/>
          <w:szCs w:val="20"/>
          <w:color w:val="auto"/>
        </w:rPr>
      </w:pPr>
    </w:p>
    <w:p>
      <w:pPr>
        <w:ind w:right="160" w:firstLine="578"/>
        <w:spacing w:after="0" w:line="255"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Changes to Internal Control over Financial Reporting</w:t>
      </w:r>
    </w:p>
    <w:p>
      <w:pPr>
        <w:spacing w:after="0" w:line="121" w:lineRule="exact"/>
        <w:rPr>
          <w:sz w:val="20"/>
          <w:szCs w:val="20"/>
          <w:color w:val="auto"/>
        </w:rPr>
      </w:pPr>
    </w:p>
    <w:p>
      <w:pPr>
        <w:ind w:right="240" w:firstLine="57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Availability of Reports and other Corporate Governance Information</w:t>
      </w:r>
    </w:p>
    <w:p>
      <w:pPr>
        <w:spacing w:after="0" w:line="121" w:lineRule="exact"/>
        <w:rPr>
          <w:sz w:val="20"/>
          <w:szCs w:val="20"/>
          <w:color w:val="auto"/>
        </w:rPr>
      </w:pPr>
    </w:p>
    <w:p>
      <w:pPr>
        <w:ind w:right="40" w:firstLine="578"/>
        <w:spacing w:after="0" w:line="256" w:lineRule="auto"/>
        <w:rPr>
          <w:sz w:val="20"/>
          <w:szCs w:val="20"/>
          <w:color w:val="auto"/>
        </w:rPr>
      </w:pPr>
      <w:r>
        <w:rPr>
          <w:rFonts w:ascii="Times New Roman" w:cs="Times New Roman" w:eastAsia="Times New Roman" w:hAnsi="Times New Roman"/>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Research and Development Committee and Talent and Compensation Committee. The Company maintains a corporate investor relations website, https://investors.prokidney.com/,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80" w:firstLine="524"/>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in the section entitled “Risk Factors” in our Annual Report on Form 10-K filed with the SEC on March 18, 2026 (the “2025 Annual Report”). There have been no material changes to the risk factors described in the 2025 Annual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three months ended March 31,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140" w:firstLine="524"/>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none of the Company’s directors or officers adopted or terminated a “Rule 10b5-1 trading arrangement” or “non-Rule 10b5-1 trading arrangement,” as those terms are defined in Item 408 of Regulation S-K that was intended to satisfy the affirmative defense conditions of Rule 10b5-1(c).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gridSpan w:val="7"/>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2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w w:val="98"/>
              </w:rPr>
              <w:t>31.1*</w:t>
            </w:r>
          </w:p>
        </w:tc>
        <w:tc>
          <w:tcPr>
            <w:tcW w:w="160" w:type="dxa"/>
            <w:vAlign w:val="bottom"/>
          </w:tcPr>
          <w:p>
            <w:pPr>
              <w:spacing w:after="0"/>
              <w:rPr>
                <w:sz w:val="20"/>
                <w:szCs w:val="20"/>
                <w:color w:val="auto"/>
              </w:rPr>
            </w:pPr>
          </w:p>
        </w:tc>
        <w:tc>
          <w:tcPr>
            <w:tcW w:w="9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w w:val="98"/>
              </w:rPr>
              <w:t>31.2*</w:t>
            </w:r>
          </w:p>
        </w:tc>
        <w:tc>
          <w:tcPr>
            <w:tcW w:w="160" w:type="dxa"/>
            <w:vAlign w:val="bottom"/>
          </w:tcPr>
          <w:p>
            <w:pPr>
              <w:spacing w:after="0"/>
              <w:rPr>
                <w:sz w:val="22"/>
                <w:szCs w:val="22"/>
                <w:color w:val="auto"/>
              </w:rPr>
            </w:pPr>
          </w:p>
        </w:tc>
        <w:tc>
          <w:tcPr>
            <w:tcW w:w="9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4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9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w w:val="98"/>
              </w:rPr>
              <w:t>32.1*</w:t>
            </w:r>
          </w:p>
        </w:tc>
        <w:tc>
          <w:tcPr>
            <w:tcW w:w="160" w:type="dxa"/>
            <w:vAlign w:val="bottom"/>
          </w:tcPr>
          <w:p>
            <w:pPr>
              <w:spacing w:after="0"/>
              <w:rPr>
                <w:sz w:val="22"/>
                <w:szCs w:val="22"/>
                <w:color w:val="auto"/>
              </w:rPr>
            </w:pPr>
          </w:p>
        </w:tc>
        <w:tc>
          <w:tcPr>
            <w:tcW w:w="10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9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w w:val="98"/>
              </w:rPr>
              <w:t>32.2*</w:t>
            </w:r>
          </w:p>
        </w:tc>
        <w:tc>
          <w:tcPr>
            <w:tcW w:w="160" w:type="dxa"/>
            <w:vAlign w:val="bottom"/>
          </w:tcPr>
          <w:p>
            <w:pPr>
              <w:spacing w:after="0"/>
              <w:rPr>
                <w:sz w:val="22"/>
                <w:szCs w:val="22"/>
                <w:color w:val="auto"/>
              </w:rPr>
            </w:pPr>
          </w:p>
        </w:tc>
        <w:tc>
          <w:tcPr>
            <w:tcW w:w="10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9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20" w:type="dxa"/>
            <w:vAlign w:val="bottom"/>
          </w:tcPr>
          <w:p>
            <w:pPr>
              <w:spacing w:after="0"/>
              <w:rPr>
                <w:sz w:val="20"/>
                <w:szCs w:val="20"/>
                <w:color w:val="auto"/>
              </w:rPr>
            </w:pPr>
          </w:p>
        </w:tc>
        <w:tc>
          <w:tcPr>
            <w:tcW w:w="5160" w:type="dxa"/>
            <w:vAlign w:val="bottom"/>
            <w:gridSpan w:val="4"/>
          </w:tcPr>
          <w:p>
            <w:pPr>
              <w:jc w:val="right"/>
              <w:ind w:right="288"/>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4"/>
              </w:rPr>
              <w:t>101*</w:t>
            </w:r>
          </w:p>
        </w:tc>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following materials from the Company’s Quarterly Report on Form 10-Q for the quarter ended March 31, 2026, formatted in iXBRL</w:t>
            </w:r>
          </w:p>
        </w:tc>
      </w:tr>
      <w:tr>
        <w:trPr>
          <w:trHeight w:val="216"/>
        </w:trPr>
        <w:tc>
          <w:tcPr>
            <w:tcW w:w="720" w:type="dxa"/>
            <w:vAlign w:val="bottom"/>
          </w:tcPr>
          <w:p>
            <w:pPr>
              <w:spacing w:after="0"/>
              <w:rPr>
                <w:sz w:val="18"/>
                <w:szCs w:val="18"/>
                <w:color w:val="auto"/>
              </w:rPr>
            </w:pPr>
          </w:p>
        </w:tc>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(Inline Extensible Business Reporting Language):  (i) Condensed Consolidated Balance Sheets (unaudited), (ii) Condensed Consolidated</w:t>
            </w:r>
          </w:p>
        </w:tc>
      </w:tr>
      <w:tr>
        <w:trPr>
          <w:trHeight w:val="216"/>
        </w:trPr>
        <w:tc>
          <w:tcPr>
            <w:tcW w:w="720" w:type="dxa"/>
            <w:vAlign w:val="bottom"/>
          </w:tcPr>
          <w:p>
            <w:pPr>
              <w:spacing w:after="0"/>
              <w:rPr>
                <w:sz w:val="18"/>
                <w:szCs w:val="18"/>
                <w:color w:val="auto"/>
              </w:rPr>
            </w:pPr>
          </w:p>
        </w:tc>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Statements of Operations (unaudited), (iii) Condensed Consolidated Statements of Comprehensive Loss (unaudited), (iv) Condensed</w:t>
            </w:r>
          </w:p>
        </w:tc>
      </w:tr>
      <w:tr>
        <w:trPr>
          <w:trHeight w:val="216"/>
        </w:trPr>
        <w:tc>
          <w:tcPr>
            <w:tcW w:w="720" w:type="dxa"/>
            <w:vAlign w:val="bottom"/>
          </w:tcPr>
          <w:p>
            <w:pPr>
              <w:spacing w:after="0"/>
              <w:rPr>
                <w:sz w:val="18"/>
                <w:szCs w:val="18"/>
                <w:color w:val="auto"/>
              </w:rPr>
            </w:pPr>
          </w:p>
        </w:tc>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Changes in Redeemable Noncontrolling Interest and Stockholders’ Deficit (unaudited), (v) Consolidated</w:t>
            </w:r>
          </w:p>
        </w:tc>
      </w:tr>
      <w:tr>
        <w:trPr>
          <w:trHeight w:val="216"/>
        </w:trPr>
        <w:tc>
          <w:tcPr>
            <w:tcW w:w="720" w:type="dxa"/>
            <w:vAlign w:val="bottom"/>
          </w:tcPr>
          <w:p>
            <w:pPr>
              <w:spacing w:after="0"/>
              <w:rPr>
                <w:sz w:val="18"/>
                <w:szCs w:val="18"/>
                <w:color w:val="auto"/>
              </w:rPr>
            </w:pPr>
          </w:p>
        </w:tc>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Statements of Cash Flows (unaudited) and (vi) Notes to Condensed Consolidated Financial Statements (unaudited), tagged as blocks of text</w:t>
            </w:r>
          </w:p>
        </w:tc>
      </w:tr>
      <w:tr>
        <w:trPr>
          <w:trHeight w:val="234"/>
        </w:trPr>
        <w:tc>
          <w:tcPr>
            <w:tcW w:w="720" w:type="dxa"/>
            <w:vAlign w:val="bottom"/>
          </w:tcPr>
          <w:p>
            <w:pPr>
              <w:spacing w:after="0"/>
              <w:rPr>
                <w:sz w:val="20"/>
                <w:szCs w:val="20"/>
                <w:color w:val="auto"/>
              </w:rPr>
            </w:pPr>
          </w:p>
        </w:tc>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including detailed tags.</w:t>
            </w:r>
          </w:p>
        </w:tc>
      </w:tr>
      <w:tr>
        <w:trPr>
          <w:trHeight w:val="283"/>
        </w:trPr>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4"/>
              </w:rPr>
              <w:t>104*</w:t>
            </w:r>
          </w:p>
        </w:tc>
        <w:tc>
          <w:tcPr>
            <w:tcW w:w="10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cover page from this Quarterly Report on Form 10-Q for the quarter ended March 31, 2026, formatted in Inline XBRL.</w:t>
            </w:r>
          </w:p>
        </w:tc>
      </w:tr>
    </w:tbl>
    <w:p>
      <w:pPr>
        <w:spacing w:after="0" w:line="346" w:lineRule="exact"/>
        <w:rPr>
          <w:sz w:val="20"/>
          <w:szCs w:val="20"/>
          <w:color w:val="auto"/>
        </w:rPr>
      </w:pPr>
    </w:p>
    <w:p>
      <w:pPr>
        <w:ind w:right="6700" w:firstLine="8"/>
        <w:spacing w:after="0" w:line="407" w:lineRule="auto"/>
        <w:tabs>
          <w:tab w:leader="none" w:pos="13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9512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53" w:right="439" w:bottom="1440" w:gutter="0" w:footer="0" w:header="0"/>
        </w:sectPr>
      </w:pPr>
    </w:p>
    <w:bookmarkStart w:id="32" w:name="page33"/>
    <w:bookmarkEnd w:id="3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39"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139"/>
          </w:cols>
          <w:pgMar w:left="320" w:top="9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PROKIDNEY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Bruce Culleton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17145</wp:posOffset>
            </wp:positionV>
            <wp:extent cx="330898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Bruce Culleton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Coulston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17145</wp:posOffset>
            </wp:positionV>
            <wp:extent cx="330898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James Coulston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ectPr>
          <w:pgSz w:w="11900" w:h="16838" w:orient="portrait"/>
          <w:cols w:equalWidth="0" w:num="2">
            <w:col w:w="4960" w:space="720"/>
            <w:col w:w="4459"/>
          </w:cols>
          <w:pgMar w:left="320" w:top="9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type w:val="continuous"/>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Culleton,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ProKidney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772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Bruce Culleton</w:t>
            </w:r>
          </w:p>
        </w:tc>
      </w:tr>
      <w:tr>
        <w:trPr>
          <w:trHeight w:val="191"/>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Bruce Culleton</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79"/>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Coulston, certify that:</w:t>
      </w:r>
    </w:p>
    <w:p>
      <w:pPr>
        <w:spacing w:after="0" w:line="225"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ProKidney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768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James Coulston</w:t>
            </w:r>
          </w:p>
        </w:tc>
      </w:tr>
      <w:tr>
        <w:trPr>
          <w:trHeight w:val="191"/>
        </w:trPr>
        <w:tc>
          <w:tcPr>
            <w:tcW w:w="35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Coulston</w:t>
            </w:r>
          </w:p>
        </w:tc>
      </w:tr>
      <w:tr>
        <w:trPr>
          <w:trHeight w:val="216"/>
        </w:trPr>
        <w:tc>
          <w:tcPr>
            <w:tcW w:w="35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79"/>
        </w:trPr>
        <w:tc>
          <w:tcPr>
            <w:tcW w:w="35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ProKidney Corp. (the “Company”) on Form 10-Q for the period ending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77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Bruce Culleton</w:t>
            </w:r>
          </w:p>
        </w:tc>
      </w:tr>
      <w:tr>
        <w:trPr>
          <w:trHeight w:val="191"/>
        </w:trPr>
        <w:tc>
          <w:tcPr>
            <w:tcW w:w="35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Bruce Culleton</w:t>
            </w:r>
          </w:p>
        </w:tc>
      </w:tr>
      <w:tr>
        <w:trPr>
          <w:trHeight w:val="216"/>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843"/>
        </w:trPr>
        <w:tc>
          <w:tcPr>
            <w:tcW w:w="35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ProKidney Corp. (the “Company”) on Form 10-Q for the period ending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Coulston</w:t>
            </w:r>
          </w:p>
        </w:tc>
      </w:tr>
      <w:tr>
        <w:trPr>
          <w:trHeight w:val="191"/>
        </w:trPr>
        <w:tc>
          <w:tcPr>
            <w:tcW w:w="35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Coulston</w:t>
            </w:r>
          </w:p>
        </w:tc>
      </w:tr>
      <w:tr>
        <w:trPr>
          <w:trHeight w:val="216"/>
        </w:trPr>
        <w:tc>
          <w:tcPr>
            <w:tcW w:w="3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843"/>
        </w:trPr>
        <w:tc>
          <w:tcPr>
            <w:tcW w:w="35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upperLetter"/>
      <w:start w:val="6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90"/>
    </w:lvl>
  </w:abstractNum>
  <w:abstractNum w:abstractNumId="5">
    <w:nsid w:val="66EF438D"/>
    <w:multiLevelType w:val="hybridMultilevel"/>
    <w:lvl w:ilvl="0">
      <w:lvlJc w:val="left"/>
      <w:lvlText w:val="(%1)"/>
      <w:numFmt w:val="decimal"/>
      <w:start w:val="90"/>
    </w:lvl>
  </w:abstractNum>
  <w:abstractNum w:abstractNumId="6">
    <w:nsid w:val="140E0F76"/>
    <w:multiLevelType w:val="hybridMultilevel"/>
    <w:lvl w:ilvl="0">
      <w:lvlJc w:val="left"/>
      <w:lvlText w:val="(%1)"/>
      <w:numFmt w:val="lowerRoman"/>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lvl w:ilvl="1">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2026-05-15T10:50:35Z</dcterms:created>
  <dcterms:modified xsi:type="dcterms:W3CDTF">2026-05-15T10:50:35Z</dcterms:modified>
</cp:coreProperties>
</file>