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color w:val="auto"/>
        </w:rPr>
        <w:t>PROSPECTUS SUPPLEMENT NO. 5</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September 8, 2022</w:t>
      </w:r>
    </w:p>
    <w:p>
      <w:pPr>
        <w:spacing w:after="0" w:line="200" w:lineRule="exact"/>
        <w:rPr>
          <w:sz w:val="24"/>
          <w:szCs w:val="24"/>
          <w:color w:val="auto"/>
        </w:rPr>
      </w:pPr>
    </w:p>
    <w:p>
      <w:pPr>
        <w:spacing w:after="0" w:line="21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333-266683</w:t>
      </w: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PROKIDNEY CORP.</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Up to 239,420,000 Class A Ordinary Shares</w:t>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This prospectus supplement no. 5 supplements the prospectus dated September 8, 2022, as supplemented from time to time (the “Prospectus”), relating to</w:t>
      </w:r>
    </w:p>
    <w:p>
      <w:pPr>
        <w:spacing w:after="0" w:line="27" w:lineRule="exact"/>
        <w:rPr>
          <w:sz w:val="24"/>
          <w:szCs w:val="24"/>
          <w:color w:val="auto"/>
        </w:rPr>
      </w:pPr>
    </w:p>
    <w:p>
      <w:pPr>
        <w:ind w:firstLine="8"/>
        <w:spacing w:after="0" w:line="251" w:lineRule="auto"/>
        <w:tabs>
          <w:tab w:leader="none" w:pos="2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resale from time to time by certain of the selling securityholders named in the Prospectus (the “Selling Securityholders”) of 6,890,000 Class A ordinary shares, par value $0.0001 per share (“Class A ordinary shares”) of ProKidney Corp. (formerly known as Social Capital Suvretta Holdings Corp. III, “SCS” or the “Company”), collectively held by certain holders of the Company’s securities (the “Holders”) party to that certain Amended and Restated Registration Rights Agreement, dated as of July 11, 2022, by and among the Company, SCS Sponsor III LLC (the “Sponsor”), and the Holders (the “Amended and Restated Registration Rights Agreement”), their permitted transferees and certain Additional Holders (as defined in the Amended and Restated Registration Rights Agreement); (ii) the resale from time to time of 180,000,000 Class A ordinary shares issued or issuable to former holders of units in ProKidney LP pursuant to that certain Exchange Agreement, dated as of July 11, 2022, by and among the Company, ProKidney LP, and certain holders of the Company’s securities party thereto (the “Exchange Agreement”); (iii) the resale from time to time by certain of the Selling Securityholders of 52,480,000 Class A ordinary shares, purchased by certain investors at a purchase price of $10.00 per share, pursuant to subscription agreements with the Company; and (iv) the issuance by us and the resale from time to time by certain of the Selling Securityholders of 50,000 Class A ordinary shares reserved for issuance upon the settlement of restricted stock units.</w:t>
      </w:r>
    </w:p>
    <w:p>
      <w:pPr>
        <w:spacing w:after="0" w:line="192" w:lineRule="exact"/>
        <w:rPr>
          <w:sz w:val="24"/>
          <w:szCs w:val="24"/>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the Prospectus.</w:t>
      </w:r>
    </w:p>
    <w:p>
      <w:pPr>
        <w:spacing w:after="0" w:line="180"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Class A ordinary shares by the Selling Securityholders. However, we will pay the expenses, other than any underwriting discounts and commissions, associated with the sale of securities pursuant to the Prospectus.</w:t>
      </w:r>
    </w:p>
    <w:p>
      <w:pPr>
        <w:spacing w:after="0" w:line="162" w:lineRule="exact"/>
        <w:rPr>
          <w:sz w:val="24"/>
          <w:szCs w:val="24"/>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registered the securities for resale pursuant to the Selling Securityholders’ registration rights under certain agreements between us and the Selling Securityholders. Our registration of the securities covered by the Prospectus does not mean that either we or the Selling Securityholders will issue, offer or sell, as applicable, any of the securities. The Selling Securityholders may offer and sell the securities covered by the Prospectus in a number of different ways and at varying prices. We provide more information about how the Selling Securityholders may sell the shares in the section entitled “Plan of Distribution” in the Prospectus.</w:t>
      </w:r>
    </w:p>
    <w:p>
      <w:pPr>
        <w:spacing w:after="0" w:line="183"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This prospectus supplement incorporates into the Prospectus the information contained in our attached current report on Form 8-K, which was filed with the Securities and Exchange Commission on February 6, 2023.</w:t>
      </w:r>
    </w:p>
    <w:p>
      <w:pPr>
        <w:spacing w:after="0" w:line="162" w:lineRule="exact"/>
        <w:rPr>
          <w:sz w:val="24"/>
          <w:szCs w:val="24"/>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supplement in conjunction with the Prospectus, including any supplements and amendments thereto. This prospectus supplement is qualified by reference to the Prospectus except to the extent that the information in the prospectus supplement supersedes the information contained in the Prospectus. This prospectus supplement is not complete without, and may not be delivered or utilized except in connection with, the Prospectus, including any supplements and amendments thereto.</w:t>
      </w:r>
    </w:p>
    <w:p>
      <w:pPr>
        <w:spacing w:after="0" w:line="180"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Class A ordinary shares are listed on the Nasdaq Capital Market under the symbol “PROK.” On February 6, 2023, the closing price of our Class A ordinary shares was $11.00.</w:t>
      </w:r>
    </w:p>
    <w:p>
      <w:pPr>
        <w:spacing w:after="0" w:line="158" w:lineRule="exact"/>
        <w:rPr>
          <w:sz w:val="24"/>
          <w:szCs w:val="24"/>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beginning on page 6 of the Prospectus and in the documents that are incorporated by reference in the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314325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line="317"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this prospectus supplement of the Prospectus is truthful or complete. Any representation to the contrary is a criminal offense.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of this prospectus supplement is February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333" w:right="8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03,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PROKIDNEY CORP.</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tbl>
      <w:tblPr>
        <w:tblLayout w:type="fixed"/>
        <w:tblInd w:w="1100" w:type="dxa"/>
        <w:tblCellMar>
          <w:top w:w="0" w:type="dxa"/>
          <w:left w:w="0" w:type="dxa"/>
          <w:bottom w:w="0" w:type="dxa"/>
          <w:right w:w="0" w:type="dxa"/>
        </w:tblCellMar>
      </w:tblPr>
      <w:tr>
        <w:trPr>
          <w:trHeight w:val="235"/>
        </w:trPr>
        <w:tc>
          <w:tcPr>
            <w:tcW w:w="310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32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001-40560</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98-1586514</w:t>
            </w:r>
          </w:p>
        </w:tc>
      </w:tr>
      <w:tr>
        <w:trPr>
          <w:trHeight w:val="148"/>
        </w:trPr>
        <w:tc>
          <w:tcPr>
            <w:tcW w:w="3100" w:type="dxa"/>
            <w:vAlign w:val="bottom"/>
          </w:tcPr>
          <w:p>
            <w:pPr>
              <w:jc w:val="center"/>
              <w:ind w:right="58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20" w:type="dxa"/>
            <w:vAlign w:val="bottom"/>
          </w:tcPr>
          <w:p>
            <w:pPr>
              <w:jc w:val="center"/>
              <w:ind w:right="2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100" w:type="dxa"/>
            <w:vAlign w:val="bottom"/>
          </w:tcPr>
          <w:p>
            <w:pPr>
              <w:jc w:val="center"/>
              <w:ind w:right="58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24"/>
        </w:trPr>
        <w:tc>
          <w:tcPr>
            <w:tcW w:w="310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2000 Frontis Plaza Blvd.</w:t>
            </w:r>
          </w:p>
        </w:tc>
        <w:tc>
          <w:tcPr>
            <w:tcW w:w="32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9"/>
        </w:trPr>
        <w:tc>
          <w:tcPr>
            <w:tcW w:w="31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Suite 250</w:t>
            </w:r>
          </w:p>
        </w:tc>
        <w:tc>
          <w:tcPr>
            <w:tcW w:w="322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5"/>
        </w:trPr>
        <w:tc>
          <w:tcPr>
            <w:tcW w:w="310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Winston-Salem, North Carolina</w:t>
            </w:r>
          </w:p>
        </w:tc>
        <w:tc>
          <w:tcPr>
            <w:tcW w:w="322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27103</w:t>
            </w:r>
          </w:p>
        </w:tc>
      </w:tr>
      <w:tr>
        <w:trPr>
          <w:trHeight w:val="178"/>
        </w:trPr>
        <w:tc>
          <w:tcPr>
            <w:tcW w:w="3100" w:type="dxa"/>
            <w:vAlign w:val="bottom"/>
          </w:tcPr>
          <w:p>
            <w:pPr>
              <w:jc w:val="center"/>
              <w:ind w:right="58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336 999-7029</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0"/>
          <w:szCs w:val="20"/>
          <w:color w:val="auto"/>
        </w:rPr>
      </w:pPr>
    </w:p>
    <w:p>
      <w:pPr>
        <w:ind w:left="820" w:hanging="372"/>
        <w:spacing w:after="0"/>
        <w:tabs>
          <w:tab w:leader="none" w:pos="8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820" w:hanging="372"/>
        <w:spacing w:after="0"/>
        <w:tabs>
          <w:tab w:leader="none" w:pos="8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820" w:hanging="372"/>
        <w:spacing w:after="0"/>
        <w:tabs>
          <w:tab w:leader="none" w:pos="8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820" w:hanging="372"/>
        <w:spacing w:after="0"/>
        <w:tabs>
          <w:tab w:leader="none" w:pos="8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ordinary shares, $0.0001 par value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PROK</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9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0"/>
          <w:szCs w:val="20"/>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Resignation of Chief Medical Officer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Dr. Libbie McKenzie has resigned from ProKidney as Chief Medical Officer and will be pursuing other opportunities that align with her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441" w:right="9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PROKIDNEY CORP.</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6,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Todd Girolamo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Todd Girolamo</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00"/>
      </w:cols>
      <w:pgMar w:left="32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2023-02-06T15:23:03Z</dcterms:created>
  <dcterms:modified xsi:type="dcterms:W3CDTF">2023-02-06T15:23:03Z</dcterms:modified>
</cp:coreProperties>
</file>