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20" w:right="1960" w:hanging="3899"/>
        <w:spacing w:after="0" w:line="287"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ind w:left="54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ind w:left="48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001-40560</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ProKidney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-283210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2000 Frontis Plaza Blvd., Suite 250</w:t>
      </w:r>
    </w:p>
    <w:p>
      <w:pPr>
        <w:spacing w:after="0" w:line="12"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Winston-Salem, NC</w:t>
      </w:r>
    </w:p>
    <w:p>
      <w:pPr>
        <w:spacing w:after="0" w:line="23"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98-1586514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27103</w:t>
      </w:r>
    </w:p>
    <w:p>
      <w:pPr>
        <w:spacing w:after="0" w:line="27"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8" w:lineRule="exact"/>
        <w:rPr>
          <w:sz w:val="24"/>
          <w:szCs w:val="24"/>
          <w:color w:val="auto"/>
        </w:rPr>
      </w:pPr>
    </w:p>
    <w:p>
      <w:pPr>
        <w:sectPr>
          <w:pgSz w:w="11900" w:h="16838" w:orient="portrait"/>
          <w:cols w:equalWidth="0" w:num="2">
            <w:col w:w="7660" w:space="280"/>
            <w:col w:w="3300"/>
          </w:cols>
          <w:pgMar w:left="320" w:top="1330" w:right="339" w:bottom="1440" w:gutter="0" w:footer="0" w:header="0"/>
          <w:type w:val="continuous"/>
        </w:sectPr>
      </w:pPr>
    </w:p>
    <w:p>
      <w:pPr>
        <w:ind w:left="30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(336) 999-7028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ordinary shares, $0.0001 par value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PROK</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bl>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9" w:lineRule="exact"/>
        <w:rPr>
          <w:sz w:val="24"/>
          <w:szCs w:val="24"/>
          <w:color w:val="auto"/>
        </w:rPr>
      </w:pPr>
    </w:p>
    <w:p>
      <w:pPr>
        <w:ind w:right="362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1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50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ind w:left="3120"/>
              <w:spacing w:after="0"/>
              <w:rPr>
                <w:sz w:val="20"/>
                <w:szCs w:val="20"/>
                <w:color w:val="auto"/>
              </w:rPr>
            </w:pPr>
            <w:r>
              <w:rPr>
                <w:rFonts w:ascii="Times New Roman" w:cs="Times New Roman" w:eastAsia="Times New Roman" w:hAnsi="Times New Roman"/>
                <w:sz w:val="15"/>
                <w:szCs w:val="15"/>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9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ind w:left="31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8"/>
        </w:trPr>
        <w:tc>
          <w:tcPr>
            <w:tcW w:w="196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15"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78" w:lineRule="exact"/>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000000"/>
        </w:rPr>
        <w:t>☐</w:t>
      </w:r>
    </w:p>
    <w:p>
      <w:pPr>
        <w:spacing w:after="0" w:line="1" w:lineRule="exact"/>
        <w:rPr>
          <w:sz w:val="24"/>
          <w:szCs w:val="24"/>
          <w:color w:val="auto"/>
        </w:rPr>
      </w:pPr>
    </w:p>
    <w:p>
      <w:pPr>
        <w:ind w:right="280"/>
        <w:spacing w:after="0" w:line="182" w:lineRule="exact"/>
        <w:rPr>
          <w:sz w:val="20"/>
          <w:szCs w:val="20"/>
          <w:color w:val="auto"/>
        </w:rPr>
      </w:pPr>
      <w:r>
        <w:rPr>
          <w:rFonts w:ascii="Times New Roman" w:cs="Times New Roman" w:eastAsia="Times New Roman" w:hAnsi="Times New Roman"/>
          <w:sz w:val="14"/>
          <w:szCs w:val="14"/>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000000"/>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0" w:lineRule="exact"/>
        <w:rPr>
          <w:sz w:val="24"/>
          <w:szCs w:val="24"/>
          <w:color w:val="auto"/>
        </w:rPr>
      </w:pPr>
    </w:p>
    <w:p>
      <w:pPr>
        <w:ind w:right="180"/>
        <w:spacing w:after="0" w:line="239"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on the closing price of the ordinary shares on The Nasdaq Stock Market on June 30, 2024, was $232,629,556.</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17, 2025, there were 129,536,121 Class A ordinary shares, par value $0.0001 per share and 163,161,528 Class B ordinary shares,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type w:val="continuous"/>
        </w:sectPr>
      </w:pPr>
    </w:p>
    <w:bookmarkStart w:id="1" w:name="page2"/>
    <w:bookmarkEnd w:id="1"/>
    <w:p>
      <w:pPr>
        <w:spacing w:after="0"/>
        <w:tabs>
          <w:tab w:leader="none" w:pos="1380" w:val="left"/>
          <w:tab w:leader="none" w:pos="3260" w:val="left"/>
          <w:tab w:leader="none" w:pos="4620" w:val="left"/>
          <w:tab w:leader="none" w:pos="6880" w:val="left"/>
          <w:tab w:leader="none" w:pos="8360" w:val="left"/>
        </w:tabs>
        <w:rPr>
          <w:sz w:val="20"/>
          <w:szCs w:val="20"/>
          <w:color w:val="auto"/>
        </w:rPr>
      </w:pPr>
      <w:r>
        <w:rPr>
          <w:rFonts w:ascii="Times New Roman" w:cs="Times New Roman" w:eastAsia="Times New Roman" w:hAnsi="Times New Roman"/>
          <w:sz w:val="14"/>
          <w:szCs w:val="14"/>
          <w:color w:val="auto"/>
        </w:rPr>
        <w:t>Auditor Firm Id:</w:t>
      </w:r>
      <w:r>
        <w:rPr>
          <w:sz w:val="20"/>
          <w:szCs w:val="20"/>
          <w:color w:val="auto"/>
        </w:rPr>
        <w:tab/>
      </w: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Auditor Name:</w:t>
      </w:r>
      <w:r>
        <w:rPr>
          <w:sz w:val="20"/>
          <w:szCs w:val="20"/>
          <w:color w:val="auto"/>
        </w:rPr>
        <w:tab/>
      </w:r>
      <w:r>
        <w:rPr>
          <w:rFonts w:ascii="Times New Roman" w:cs="Times New Roman" w:eastAsia="Times New Roman" w:hAnsi="Times New Roman"/>
          <w:sz w:val="14"/>
          <w:szCs w:val="14"/>
          <w:color w:val="auto"/>
        </w:rPr>
        <w:t>Ernst &amp; Young LLP</w:t>
      </w:r>
      <w:r>
        <w:rPr>
          <w:sz w:val="20"/>
          <w:szCs w:val="20"/>
          <w:color w:val="auto"/>
        </w:rPr>
        <w:tab/>
      </w:r>
      <w:r>
        <w:rPr>
          <w:rFonts w:ascii="Times New Roman" w:cs="Times New Roman" w:eastAsia="Times New Roman" w:hAnsi="Times New Roman"/>
          <w:sz w:val="14"/>
          <w:szCs w:val="14"/>
          <w:color w:val="auto"/>
        </w:rPr>
        <w:t>Auditor Location:</w:t>
      </w:r>
      <w:r>
        <w:rPr>
          <w:sz w:val="20"/>
          <w:szCs w:val="20"/>
          <w:color w:val="auto"/>
        </w:rPr>
        <w:tab/>
      </w:r>
      <w:r>
        <w:rPr>
          <w:rFonts w:ascii="Times New Roman" w:cs="Times New Roman" w:eastAsia="Times New Roman" w:hAnsi="Times New Roman"/>
          <w:sz w:val="14"/>
          <w:szCs w:val="14"/>
          <w:color w:val="auto"/>
        </w:rPr>
        <w:t>Raleigh, North Carolina,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100965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868045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420" w:top="981" w:right="8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6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563C1"/>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563C1"/>
            </w:tcBorders>
            <w:gridSpan w:val="4"/>
          </w:tcPr>
          <w:p>
            <w:pPr>
              <w:spacing w:after="0" w:line="196" w:lineRule="exact"/>
              <w:rPr>
                <w:sz w:val="20"/>
                <w:szCs w:val="20"/>
                <w:color w:val="auto"/>
              </w:rPr>
            </w:pPr>
            <w:r>
              <w:rPr>
                <w:rFonts w:ascii="Times New Roman" w:cs="Times New Roman" w:eastAsia="Times New Roman" w:hAnsi="Times New Roman"/>
                <w:sz w:val="18"/>
                <w:szCs w:val="18"/>
                <w:color w:val="0563C1"/>
                <w:w w:val="99"/>
              </w:rPr>
              <w:t>Risk Factors</w:t>
            </w:r>
          </w:p>
        </w:tc>
        <w:tc>
          <w:tcPr>
            <w:tcW w:w="8380" w:type="dxa"/>
            <w:vAlign w:val="bottom"/>
            <w:gridSpan w:val="1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563C1"/>
            </w:tcBorders>
            <w:gridSpan w:val="10"/>
          </w:tcPr>
          <w:p>
            <w:pPr>
              <w:spacing w:after="0" w:line="196" w:lineRule="exact"/>
              <w:rPr>
                <w:sz w:val="20"/>
                <w:szCs w:val="20"/>
                <w:color w:val="auto"/>
              </w:rPr>
            </w:pPr>
            <w:r>
              <w:rPr>
                <w:rFonts w:ascii="Times New Roman" w:cs="Times New Roman" w:eastAsia="Times New Roman" w:hAnsi="Times New Roman"/>
                <w:sz w:val="18"/>
                <w:szCs w:val="18"/>
                <w:color w:val="0563C1"/>
                <w:w w:val="99"/>
              </w:rPr>
              <w:t>Unresolved Staff Comments</w:t>
            </w:r>
          </w:p>
        </w:tc>
        <w:tc>
          <w:tcPr>
            <w:tcW w:w="724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563C1"/>
            </w:tcBorders>
            <w:gridSpan w:val="5"/>
          </w:tcPr>
          <w:p>
            <w:pPr>
              <w:spacing w:after="0" w:line="196" w:lineRule="exact"/>
              <w:rPr>
                <w:sz w:val="20"/>
                <w:szCs w:val="20"/>
                <w:color w:val="auto"/>
              </w:rPr>
            </w:pPr>
            <w:r>
              <w:rPr>
                <w:rFonts w:ascii="Times New Roman" w:cs="Times New Roman" w:eastAsia="Times New Roman" w:hAnsi="Times New Roman"/>
                <w:sz w:val="18"/>
                <w:szCs w:val="18"/>
                <w:color w:val="0563C1"/>
                <w:w w:val="98"/>
              </w:rPr>
              <w:t>Cybersecurity</w:t>
            </w:r>
          </w:p>
        </w:tc>
        <w:tc>
          <w:tcPr>
            <w:tcW w:w="8280" w:type="dxa"/>
            <w:vAlign w:val="bottom"/>
            <w:gridSpan w:val="1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563C1"/>
            </w:tcBorders>
            <w:gridSpan w:val="3"/>
          </w:tcPr>
          <w:p>
            <w:pPr>
              <w:spacing w:after="0" w:line="196" w:lineRule="exact"/>
              <w:rPr>
                <w:sz w:val="20"/>
                <w:szCs w:val="20"/>
                <w:color w:val="auto"/>
              </w:rPr>
            </w:pPr>
            <w:r>
              <w:rPr>
                <w:rFonts w:ascii="Times New Roman" w:cs="Times New Roman" w:eastAsia="Times New Roman" w:hAnsi="Times New Roman"/>
                <w:sz w:val="18"/>
                <w:szCs w:val="18"/>
                <w:color w:val="0563C1"/>
                <w:w w:val="98"/>
              </w:rPr>
              <w:t>Properties</w:t>
            </w:r>
          </w:p>
        </w:tc>
        <w:tc>
          <w:tcPr>
            <w:tcW w:w="856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gridSpan w:val="2"/>
            <w:shd w:val="clear" w:color="auto" w:fill="0563C1"/>
          </w:tcPr>
          <w:p>
            <w:pPr>
              <w:spacing w:after="0" w:line="20" w:lineRule="exact"/>
              <w:rPr>
                <w:sz w:val="1"/>
                <w:szCs w:val="1"/>
                <w:color w:val="auto"/>
              </w:rPr>
            </w:pPr>
          </w:p>
        </w:tc>
        <w:tc>
          <w:tcPr>
            <w:tcW w:w="640" w:type="dxa"/>
            <w:vAlign w:val="bottom"/>
            <w:gridSpan w:val="4"/>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563C1"/>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563C1"/>
              <w:bottom w:val="single" w:sz="8" w:color="0563C1"/>
            </w:tcBorders>
            <w:gridSpan w:val="2"/>
          </w:tcPr>
          <w:p>
            <w:pPr>
              <w:spacing w:after="0" w:line="196" w:lineRule="exact"/>
              <w:rPr>
                <w:sz w:val="20"/>
                <w:szCs w:val="20"/>
                <w:color w:val="auto"/>
              </w:rPr>
            </w:pPr>
            <w:r>
              <w:rPr>
                <w:rFonts w:ascii="Times New Roman" w:cs="Times New Roman" w:eastAsia="Times New Roman" w:hAnsi="Times New Roman"/>
                <w:sz w:val="18"/>
                <w:szCs w:val="18"/>
                <w:color w:val="0563C1"/>
                <w:w w:val="98"/>
              </w:rPr>
              <w:t>Reserved</w:t>
            </w:r>
          </w:p>
        </w:tc>
        <w:tc>
          <w:tcPr>
            <w:tcW w:w="7420" w:type="dxa"/>
            <w:vAlign w:val="bottom"/>
            <w:tcBorders>
              <w:top w:val="single" w:sz="8" w:color="0563C1"/>
            </w:tcBorders>
            <w:gridSpan w:val="19"/>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563C1"/>
            </w:tcBorders>
            <w:gridSpan w:val="18"/>
          </w:tcPr>
          <w:p>
            <w:pPr>
              <w:spacing w:after="0" w:line="196" w:lineRule="exact"/>
              <w:rPr>
                <w:sz w:val="20"/>
                <w:szCs w:val="20"/>
                <w:color w:val="auto"/>
              </w:rPr>
            </w:pPr>
            <w:r>
              <w:rPr>
                <w:rFonts w:ascii="Times New Roman" w:cs="Times New Roman" w:eastAsia="Times New Roman" w:hAnsi="Times New Roman"/>
                <w:sz w:val="18"/>
                <w:szCs w:val="18"/>
                <w:color w:val="0563C1"/>
                <w:w w:val="99"/>
              </w:rPr>
              <w:t>Management’s Discussion and Analysis of Financial Condition and Results of Operations</w:t>
            </w:r>
          </w:p>
        </w:tc>
        <w:tc>
          <w:tcPr>
            <w:tcW w:w="282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563C1"/>
              <w:bottom w:val="single" w:sz="8" w:color="0563C1"/>
            </w:tcBorders>
            <w:gridSpan w:val="13"/>
          </w:tcPr>
          <w:p>
            <w:pPr>
              <w:spacing w:after="0" w:line="196" w:lineRule="exact"/>
              <w:rPr>
                <w:sz w:val="20"/>
                <w:szCs w:val="20"/>
                <w:color w:val="auto"/>
              </w:rPr>
            </w:pPr>
            <w:r>
              <w:rPr>
                <w:rFonts w:ascii="Times New Roman" w:cs="Times New Roman" w:eastAsia="Times New Roman" w:hAnsi="Times New Roman"/>
                <w:sz w:val="18"/>
                <w:szCs w:val="18"/>
                <w:color w:val="0563C1"/>
                <w:w w:val="99"/>
              </w:rPr>
              <w:t>Financial Statements and Supplementary Data</w:t>
            </w:r>
          </w:p>
        </w:tc>
        <w:tc>
          <w:tcPr>
            <w:tcW w:w="1020" w:type="dxa"/>
            <w:vAlign w:val="bottom"/>
            <w:tcBorders>
              <w:top w:val="single" w:sz="8" w:color="0563C1"/>
            </w:tcBorders>
            <w:gridSpan w:val="2"/>
          </w:tcPr>
          <w:p>
            <w:pPr>
              <w:spacing w:after="0"/>
              <w:rPr>
                <w:sz w:val="17"/>
                <w:szCs w:val="17"/>
                <w:color w:val="auto"/>
              </w:rPr>
            </w:pPr>
          </w:p>
        </w:tc>
        <w:tc>
          <w:tcPr>
            <w:tcW w:w="494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563C1"/>
              <w:bottom w:val="single" w:sz="8" w:color="0563C1"/>
            </w:tcBorders>
            <w:gridSpan w:val="8"/>
          </w:tcPr>
          <w:p>
            <w:pPr>
              <w:spacing w:after="0" w:line="196" w:lineRule="exact"/>
              <w:rPr>
                <w:sz w:val="20"/>
                <w:szCs w:val="20"/>
                <w:color w:val="auto"/>
              </w:rPr>
            </w:pPr>
            <w:r>
              <w:rPr>
                <w:rFonts w:ascii="Times New Roman" w:cs="Times New Roman" w:eastAsia="Times New Roman" w:hAnsi="Times New Roman"/>
                <w:sz w:val="18"/>
                <w:szCs w:val="18"/>
                <w:color w:val="0563C1"/>
                <w:w w:val="99"/>
              </w:rPr>
              <w:t>Controls and Procedures</w:t>
            </w:r>
          </w:p>
        </w:tc>
        <w:tc>
          <w:tcPr>
            <w:tcW w:w="4740" w:type="dxa"/>
            <w:vAlign w:val="bottom"/>
            <w:tcBorders>
              <w:top w:val="single" w:sz="8" w:color="0563C1"/>
            </w:tcBorders>
            <w:gridSpan w:val="11"/>
          </w:tcPr>
          <w:p>
            <w:pPr>
              <w:spacing w:after="0"/>
              <w:rPr>
                <w:sz w:val="17"/>
                <w:szCs w:val="17"/>
                <w:color w:val="auto"/>
              </w:rPr>
            </w:pPr>
          </w:p>
        </w:tc>
        <w:tc>
          <w:tcPr>
            <w:tcW w:w="278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6"/>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28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600" w:type="dxa"/>
            <w:vAlign w:val="bottom"/>
            <w:tcBorders>
              <w:top w:val="single" w:sz="8" w:color="0563C1"/>
            </w:tcBorders>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563C1"/>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563C1"/>
              <w:bottom w:val="single" w:sz="8" w:color="0563C1"/>
            </w:tcBorders>
            <w:gridSpan w:val="9"/>
          </w:tcPr>
          <w:p>
            <w:pPr>
              <w:spacing w:after="0" w:line="196" w:lineRule="exact"/>
              <w:rPr>
                <w:sz w:val="20"/>
                <w:szCs w:val="20"/>
                <w:color w:val="auto"/>
              </w:rPr>
            </w:pPr>
            <w:r>
              <w:rPr>
                <w:rFonts w:ascii="Times New Roman" w:cs="Times New Roman" w:eastAsia="Times New Roman" w:hAnsi="Times New Roman"/>
                <w:sz w:val="18"/>
                <w:szCs w:val="18"/>
                <w:color w:val="0563C1"/>
                <w:w w:val="99"/>
              </w:rPr>
              <w:t>Executive Compensation</w:t>
            </w:r>
          </w:p>
        </w:tc>
        <w:tc>
          <w:tcPr>
            <w:tcW w:w="2280" w:type="dxa"/>
            <w:vAlign w:val="bottom"/>
            <w:tcBorders>
              <w:top w:val="single" w:sz="8" w:color="0563C1"/>
            </w:tcBorders>
            <w:gridSpan w:val="5"/>
          </w:tcPr>
          <w:p>
            <w:pPr>
              <w:spacing w:after="0"/>
              <w:rPr>
                <w:sz w:val="17"/>
                <w:szCs w:val="17"/>
                <w:color w:val="auto"/>
              </w:rPr>
            </w:pPr>
          </w:p>
        </w:tc>
        <w:tc>
          <w:tcPr>
            <w:tcW w:w="520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563C1"/>
            </w:tcBorders>
            <w:gridSpan w:val="20"/>
          </w:tcPr>
          <w:p>
            <w:pPr>
              <w:spacing w:after="0" w:line="196" w:lineRule="exact"/>
              <w:rPr>
                <w:sz w:val="20"/>
                <w:szCs w:val="20"/>
                <w:color w:val="auto"/>
              </w:rPr>
            </w:pPr>
            <w:r>
              <w:rPr>
                <w:rFonts w:ascii="Times New Roman" w:cs="Times New Roman" w:eastAsia="Times New Roman" w:hAnsi="Times New Roman"/>
                <w:sz w:val="18"/>
                <w:szCs w:val="18"/>
                <w:color w:val="0563C1"/>
                <w:w w:val="99"/>
              </w:rPr>
              <w:t>Security Ownership of Certain Beneficial Owners and Management and Related Stockholder Matters</w:t>
            </w:r>
          </w:p>
        </w:tc>
        <w:tc>
          <w:tcPr>
            <w:tcW w:w="200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563C1"/>
            </w:tcBorders>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Principal Accounting Fees and Services</w:t>
            </w:r>
          </w:p>
        </w:tc>
        <w:tc>
          <w:tcPr>
            <w:tcW w:w="384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563C1"/>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563C1"/>
              <w:bottom w:val="single" w:sz="8" w:color="0563C1"/>
            </w:tcBorders>
            <w:gridSpan w:val="7"/>
          </w:tcPr>
          <w:p>
            <w:pPr>
              <w:spacing w:after="0" w:line="196" w:lineRule="exact"/>
              <w:rPr>
                <w:sz w:val="20"/>
                <w:szCs w:val="20"/>
                <w:color w:val="auto"/>
              </w:rPr>
            </w:pPr>
            <w:r>
              <w:rPr>
                <w:rFonts w:ascii="Times New Roman" w:cs="Times New Roman" w:eastAsia="Times New Roman" w:hAnsi="Times New Roman"/>
                <w:sz w:val="18"/>
                <w:szCs w:val="18"/>
                <w:color w:val="0563C1"/>
                <w:w w:val="99"/>
              </w:rPr>
              <w:t>Form 10-K Summary</w:t>
            </w:r>
          </w:p>
        </w:tc>
        <w:tc>
          <w:tcPr>
            <w:tcW w:w="1600" w:type="dxa"/>
            <w:vAlign w:val="bottom"/>
            <w:tcBorders>
              <w:top w:val="single" w:sz="8" w:color="0563C1"/>
            </w:tcBorders>
            <w:gridSpan w:val="5"/>
          </w:tcPr>
          <w:p>
            <w:pPr>
              <w:spacing w:after="0"/>
              <w:rPr>
                <w:sz w:val="17"/>
                <w:szCs w:val="17"/>
                <w:color w:val="auto"/>
              </w:rPr>
            </w:pPr>
          </w:p>
        </w:tc>
        <w:tc>
          <w:tcPr>
            <w:tcW w:w="614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3" w:name="page4"/>
    <w:bookmarkEnd w:id="3"/>
    <w:p>
      <w:pPr>
        <w:spacing w:after="0" w:line="255" w:lineRule="auto"/>
        <w:rPr>
          <w:sz w:val="20"/>
          <w:szCs w:val="20"/>
          <w:color w:val="auto"/>
        </w:rPr>
      </w:pPr>
      <w:r>
        <w:rPr>
          <w:rFonts w:ascii="Times New Roman" w:cs="Times New Roman" w:eastAsia="Times New Roman" w:hAnsi="Times New Roman"/>
          <w:sz w:val="18"/>
          <w:szCs w:val="18"/>
          <w:color w:val="auto"/>
        </w:rPr>
        <w:t>In this Annual Report on Form 10-K, the terms “we”, “us”, “our”, the “Company” and “ProKidney” mean ProKidney Corp. (formerly Social Capital Suvretta Holdings Corp. III) and our subsidiaries. On July 11, 2022 (the “Closing Date”), Social Capital Suvretta Holdings Corp. III, an exempted company registered under the laws of the Cayman Islands (“SCS” and after the Business Combination described herein, the “Company”), consummated a business combination (the “Business Combination”) pursuant to the terms of the Business Combination Agreement, dated as of January 18, 2022 (the “Business Combination Agreement”), by and between SCS and ProKidney LP, a limited partnership organized under the laws of Ireland (“PKLP”). Pursuant to the Business Combination and the other transactions contemplated by the Business Combination Agreement (collectively, the “Transactions”, and such completion, the “Closing”), PKLP became a subsidiary of SCS, and SCS changed its name to ProKidney Corp.</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0" w:lineRule="exact"/>
        <w:rPr>
          <w:sz w:val="20"/>
          <w:szCs w:val="20"/>
          <w:color w:val="auto"/>
        </w:rPr>
      </w:pPr>
    </w:p>
    <w:p>
      <w:pPr>
        <w:spacing w:after="0" w:line="24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ind w:left="520"/>
        <w:spacing w:after="0"/>
        <w:rPr>
          <w:sz w:val="20"/>
          <w:szCs w:val="20"/>
          <w:color w:val="auto"/>
        </w:rPr>
      </w:pPr>
      <w:r>
        <w:rPr>
          <w:rFonts w:ascii="Times New Roman" w:cs="Times New Roman" w:eastAsia="Times New Roman" w:hAnsi="Times New Roman"/>
          <w:sz w:val="18"/>
          <w:szCs w:val="18"/>
          <w:b w:val="1"/>
          <w:bCs w:val="1"/>
          <w:color w:val="auto"/>
        </w:rPr>
        <w:t>Summary of Principal Risk Factors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in “Part I – Item 1A, Risk Factors” below and include, but are not limited to, risks related to: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Financial Position and Need for Additional Capital</w:t>
      </w:r>
    </w:p>
    <w:p>
      <w:pPr>
        <w:spacing w:after="0" w:line="119"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profitability;</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in the absence of any products approved for sale;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additional capital to continue the development and commercialization of our drug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raising additional capital to our stockholders and the rights of our drug candidates;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Renal Autologous Cell Therapy or rilparencel and Our Future Product Candidates</w:t>
      </w:r>
    </w:p>
    <w:p>
      <w:pPr>
        <w:spacing w:after="0" w:line="119"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failure of our clinical trials or our inability to receive regulatory approval for our product candidates;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delays in the commencement, enrollment and completion of our clinical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preliminary results and the results of early-stage trials to not be duplicated in later stage clinical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unacceptable serious adverse side effects which are determined to be treatment related;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opinion and regulatory scrutiny of cell-based therapies;</w:t>
      </w:r>
    </w:p>
    <w:p>
      <w:pPr>
        <w:spacing w:after="0" w:line="9" w:lineRule="exact"/>
        <w:rPr>
          <w:rFonts w:ascii="Times New Roman" w:cs="Times New Roman" w:eastAsia="Times New Roman" w:hAnsi="Times New Roman"/>
          <w:sz w:val="18"/>
          <w:szCs w:val="18"/>
          <w:color w:val="auto"/>
        </w:rPr>
      </w:pPr>
    </w:p>
    <w:p>
      <w:pPr>
        <w:ind w:left="1020" w:right="400" w:hanging="503"/>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using our financial and human resources to pursue a particular research program for our product candidates and failing to capitalize on programs or product candidates that may be more profitable or for which there is a greater likelihood of success;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of rilparencel and Our Future Product Candidates</w:t>
      </w:r>
    </w:p>
    <w:p>
      <w:pPr>
        <w:spacing w:after="0" w:line="119"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rilparencel or other future product candidates to meet development or commercial needs;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maintain and expand our own production capabilities;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commitments from third-party manufacturers;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manufacturing a personalized medicine that is patient-specific;</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delays in the regulatory approval of the manufacturing process;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highly complex supply chain process associated with a personalized cell-based therapy;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third parties to provide us with a sufficient supply of materials for use in our manufacturing process;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changes made to the formulation or process used in the manufacturing of our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manufacturing facility in a state of compliance with global quality standards;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Commercialization of rilparencel and Our Future Product Candidates</w:t>
      </w:r>
    </w:p>
    <w:p>
      <w:pPr>
        <w:spacing w:after="0" w:line="119"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in the market, if approved by the appropriate regulatory agencies;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sell and market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assumptions of the addressable market for our product candidates may not be correct;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approval to commercialize products within different jurisdictions;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off-label use of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or reimbursement for rilparencel or our other product candidates;</w:t>
      </w:r>
    </w:p>
    <w:p>
      <w:pPr>
        <w:spacing w:after="0" w:line="9" w:lineRule="exact"/>
        <w:rPr>
          <w:rFonts w:ascii="Times New Roman" w:cs="Times New Roman" w:eastAsia="Times New Roman" w:hAnsi="Times New Roman"/>
          <w:sz w:val="18"/>
          <w:szCs w:val="18"/>
          <w:color w:val="auto"/>
        </w:rPr>
      </w:pPr>
    </w:p>
    <w:p>
      <w:pPr>
        <w:ind w:left="1020" w:right="100" w:hanging="503"/>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pricing for our product candidates from patients and third-party private and public payors in amounts that are sufficient to allow us to achieve profitability;</w:t>
      </w: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product liability lawsuits;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environmental, health, and safety laws and regulations;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Reliance on Third Parties</w:t>
      </w:r>
    </w:p>
    <w:p>
      <w:pPr>
        <w:spacing w:after="0" w:line="119"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professional conduct of third parties we rely on to conduct, supervise and monitor certain of our clinical trials;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materials for our research and development activities;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collaborative relationships to further the development of or commercialize our product candidates;</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Legal and Regulatory Compliance Matters</w:t>
      </w:r>
    </w:p>
    <w:p>
      <w:pPr>
        <w:spacing w:after="0" w:line="119" w:lineRule="exact"/>
        <w:rPr>
          <w:sz w:val="20"/>
          <w:szCs w:val="20"/>
          <w:color w:val="auto"/>
        </w:rPr>
      </w:pPr>
    </w:p>
    <w:p>
      <w:pPr>
        <w:ind w:left="1020" w:right="66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healthcare laws and regulations on our relationships with healthcare professionals, principal investigators, consultants, customers (actual and potential) and third-party payors;</w:t>
      </w: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obligations and continued regulatory review for our drug candidates post-commercialization;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healthcare cost containment initiatives;</w:t>
      </w:r>
    </w:p>
    <w:p>
      <w:pPr>
        <w:spacing w:after="0" w:line="9" w:lineRule="exact"/>
        <w:rPr>
          <w:rFonts w:ascii="Times New Roman" w:cs="Times New Roman" w:eastAsia="Times New Roman" w:hAnsi="Times New Roman"/>
          <w:sz w:val="18"/>
          <w:szCs w:val="18"/>
          <w:color w:val="auto"/>
        </w:rPr>
      </w:pPr>
    </w:p>
    <w:p>
      <w:pPr>
        <w:ind w:left="1020" w:right="22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funding of the Food and Drug Administration (the “FDA”), the Securities and Exchange Commission (the “SEC”) and other government agencies;</w:t>
      </w: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marketing and reimbursement regulations in other foreign jurisdictions;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data privacy laws and regulations;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legal, political and economic uncertainty relating to our planned international operations;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U.S. and foreign trade laws;</w:t>
      </w:r>
    </w:p>
    <w:p>
      <w:pPr>
        <w:spacing w:after="0" w:line="9" w:lineRule="exact"/>
        <w:rPr>
          <w:rFonts w:ascii="Times New Roman" w:cs="Times New Roman" w:eastAsia="Times New Roman" w:hAnsi="Times New Roman"/>
          <w:sz w:val="18"/>
          <w:szCs w:val="18"/>
          <w:color w:val="auto"/>
        </w:rPr>
      </w:pPr>
    </w:p>
    <w:p>
      <w:pPr>
        <w:ind w:left="1020" w:right="66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competitive pecuniary interests held by our executive officers, directors, security holders and their respective affiliates;</w:t>
      </w: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incorporation under the laws of the Cayman Islands;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Intellectual Property</w:t>
      </w:r>
    </w:p>
    <w:p>
      <w:pPr>
        <w:spacing w:after="0" w:line="119"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protect proprietary rights to our intellectual property;</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obligations imposed by future license or collaboration arrangements;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unauthorized disclosure of our trade secrets or other confidential information;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 for infringing intellectual property rights or the disclosure of trade secrets of third parties;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 maintain necessary intellectual property rights for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 to protect or enforce our patents or other intellectual property;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to the patent laws in the United States and other jurisdictions;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our intellectual property rights throughout the world;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patent term extensions for our product candidates;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Managing Our Business and Operations</w:t>
      </w:r>
    </w:p>
    <w:p>
      <w:pPr>
        <w:spacing w:after="0" w:line="119"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expanding our operations and managing growth;</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9"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employees, independent contractors, principal investigators, contract research organizations (“CROs”), contract development and manufacturing organization (“CDMOs”), consultants and collaborators in the event that they engage in misconduct or other improper activities;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computer system failures, cyber-attacks or a deficiency in our cyber-security or that of our partners;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failure to comply with health and data protection laws and regulations;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tax law or policy;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becoming subject to taxes in other jurisdictions;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being classified as a passive foreign investment company;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outcomes resulting from examination of our income or other tax returns;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investors’ substantial influence over our business;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exemption from certain corporate governance requirements since we are a “controlled company”;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provisions in our governing documents or state law which may delay or prevent our acquisition by a third party;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upon our “emerging growth company” and “smaller reporting company” statuses;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Organizational Structure</w:t>
      </w:r>
    </w:p>
    <w:p>
      <w:pPr>
        <w:spacing w:after="0" w:line="119"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limited liability related to our investment in PKLP;</w:t>
      </w:r>
    </w:p>
    <w:p>
      <w:pPr>
        <w:spacing w:after="0" w:line="27"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intercompany transfer pricing policies or the impact of changes in laws which could increase our effective tax rate or otherwise harm our business;</w:t>
      </w: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make payments under the Tax Receivable Agreement (as defined and discussed further below);</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distributions from PKLP to satisfy our obligations;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rights of our shareholders as a Cayman Islands exempted company.</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sectPr>
      </w:pPr>
    </w:p>
    <w:bookmarkStart w:id="6" w:name="page7"/>
    <w:bookmarkEnd w:id="6"/>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Prior to July 11, 2022, we were a blank check company registered under the laws of the Cayman Islands and formed for the purpose of effecting a merger, capital stock exchange, asset acquisition, stock purchase, reorganization or similar business combination with one or more businesses. On July 11, 2022, we completed the Business Combination pursuant to the Business Combination Agreement, that we entered into with PKLP. Upon the completion of the Business Combination, we changed our name to “ProKidney Corp.” and the business of PKLP became our business.</w:t>
      </w:r>
    </w:p>
    <w:p>
      <w:pPr>
        <w:spacing w:after="0" w:line="5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with a transformative proprietary cell therapy platform that has the potential to treat multiple chronic kidney diseases using cells isolated from the patient intended for treatment. Our approach seeks to redefine the treatment of chronic kidney disease (“CKD”), shifting the emphasis away from management of kidney failure to the preservation of kidney function. Our lead product candidate, rilparencel, is designed to preserve kidney function in a CKD patient’s diseased kidneys. Rilparencel is a product that includes autologous Selected Renal Cells (“SRC”) prepared from a patient’s own (autologous) kidney cells. The SRC are formulated rilparencel for reinjection into the patient’s kidneys using a minimally invasive outpatient procedure that is repeatable, if necessary. Because rilparencel is a personalized product composed of cells prepared from a patient’s own kidney, there is no need for treatment with immunosuppressive therapies that are required during a patient’s lifetime when a patient receives a kidney transplant from another, allogeneic donor.</w:t>
      </w:r>
    </w:p>
    <w:p>
      <w:pPr>
        <w:spacing w:after="0" w:line="8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currently conducting a Phase 3 clinical study and an ongoing Phase 2 clinical study for rilparencel in subjects with moderate to severe CKD and diabetes. Rilparencel has received regenerative medicine advanced therapy (“RMAT”) designation from the United States Food and Drug Administration (the “FDA”). We also completed a Phase 1 clinical trial for rilparencel in subjects with CKD due to congenital anomalies of the kidney and urinary tract (“CAKUT”) for which the last subject visit occurred in January 2023 and the clinical study report was submitted to the FDA in December 2023. Rilparencel has, to date, been generally well tolerated by subjects with moderate to severe CKD in Phase 1 and 2 clinical testing.</w:t>
      </w:r>
    </w:p>
    <w:p>
      <w:pPr>
        <w:spacing w:after="0" w:line="75"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Our patented technology includes multiple breakthroughs in the manufacturing and medical delivery of cellular therapy products. Our technology works by expanding and selecting kidney cells of a patient in an attempt to preserve kidney function that is being lost due to chronic diseases. Our process begins when a small piece or biopsy of a patient’s diseased kidney is sent to our manufacturing facility. We are able to process cells taken from the biopsy and select specific cells with a reparative capacity. These SRC are formulated into a personalized product for reinjection into the damaged kidney(s). To date, clinical studies suggest that rilparencel has the capacity to, for a time, positively impact kidney function as reflected by stabilizing the estimated glomerular filtration rate (“eGFR”) or attenuating the rate of eGFR decline in patients with CKD and diabetes.</w:t>
      </w:r>
    </w:p>
    <w:p>
      <w:pPr>
        <w:spacing w:after="0" w:line="79" w:lineRule="exact"/>
        <w:rPr>
          <w:sz w:val="20"/>
          <w:szCs w:val="20"/>
          <w:color w:val="auto"/>
        </w:rPr>
      </w:pPr>
    </w:p>
    <w:p>
      <w:pPr>
        <w:ind w:right="160" w:firstLine="509"/>
        <w:spacing w:after="0" w:line="277" w:lineRule="auto"/>
        <w:rPr>
          <w:sz w:val="20"/>
          <w:szCs w:val="20"/>
          <w:color w:val="auto"/>
        </w:rPr>
      </w:pPr>
      <w:r>
        <w:rPr>
          <w:rFonts w:ascii="Times New Roman" w:cs="Times New Roman" w:eastAsia="Times New Roman" w:hAnsi="Times New Roman"/>
          <w:sz w:val="17"/>
          <w:szCs w:val="17"/>
          <w:color w:val="auto"/>
        </w:rPr>
        <w:t>We are initially pursuing the development of rilparencel in the United States for use in patients with moderate to severe CKD and type 2 diabetes. We estimate that approximately 36 million - 37 million adults, representing approximately 14% of the U.S. adult population, currently suffer from CKD. Chronic kidney disease is segmented into five CKD stages, from mild (CKD stage 1) to severe (CKD stage 5 or kidney failure). With respect to those patients with stage 3b or 4 CKD and diabetes, we estimate that approximately 1.2 million to 1.8 million patients could be eligible for treatment with rilparencel in the United States. The Phase 3 study includes other countries in North America, Latin America, and Asia Pacific.</w:t>
      </w:r>
    </w:p>
    <w:p>
      <w:pPr>
        <w:spacing w:after="0" w:line="6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currently operate a manufacturing facility that has been designed to comply with FDA and European Medicines Agency (“EMA”) quality standards and to produce rilparencel treatments from biopsied material. Our manufacturing site, based in Winston-Salem, North Carolina, in the United States, has a potential capacity sufficient to supply our Phase 3 study as well as a potential commercial launch, should rilparencel receive regulatory approval.</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81" w:right="5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are leveraging our cell therapy technology to develop product candidates designed to stop or delay kidney failure in CKD. The following table summarizes our current clinical study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114300</wp:posOffset>
            </wp:positionV>
            <wp:extent cx="6172200" cy="26657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Rilparencel is an investigational product that includes a mixture of kidney cells prepared from the participant’s own kidney tissue. The initial kidney tissue is obtained by a standard kidney biopsy performed by a specially trained physician. From this tissue, certain kidney cells, which are thought to heal the kidney, are grown and multiplied in a highly specialized manufacturing facility. After several weeks, when sufficient cells are available, they are formulated in rilparencel and sent back to the clinical trial site for injection directly into the participant’s own kidneys. It is believed that rilparencel may help a diseased kidney stabilize or improve function over time, thereby potentially delaying the need for dialysis or transplantation by preserving kidney function.</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Clinical studies suggest that rilparencel can impact kidney function positively, as shown by by its stabilization of eGFR, or attenuation of the rate of eGFR decline, in patients with CKD and diabetes. We have developed a cryopreserved version of rilparencel that allows for long-term product preservation to be used in our Phase 3 trial of rilparencel (called PROACT 1 or REGEN-006), as well as our Phase 2 trial of rilparencel (called REGEN-007). In addition to the cryopreserved formulation of rilparencel, we used a gelatin-based hydrogel formulation in our Phase 2 trials (called RMCL-002 and REGEN-003) and Phase 1 trial in CAKUT (called REGEN-004).</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 and Corporate History</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have an experienced internal research and development team focused on utilizing our deep understanding of kidney disease pathways to discover and develop novel cell-based therapies with a multi-modal mechanism targeting various pathways. Since our founding, we have expanded our team to incorporate additional expertise as needed to pursue our goal of becoming a fully integrated biopharmaceutical company. We have assembled key management team members with expertise in kidney disease, cell therapy, development, regulatory affairs, operations, quality and manufacturing.</w:t>
      </w:r>
    </w:p>
    <w:p>
      <w:pPr>
        <w:spacing w:after="0" w:line="7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ProKidney LLC, formerly, a wholly owned subsidiary of PKLP (“ProKidney Bermuda”), was formed in December 2018 as a Bermuda limited liability company and was founded by a group of investors in the pharmaceutical industry.</w:t>
      </w:r>
    </w:p>
    <w:p>
      <w:pPr>
        <w:spacing w:after="0" w:line="5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ProKidney (formerly known as inRegen and, prior to that, RegenMed (Cayman) Ltd. (d/b/a inRegen)) (“ProKidney-KY”) was duly incorporated under the Companies Act (as amended) of the Cayman Islands (the “Cayman Islands Companies Act”) on December 21, 2015, as an exempted company. In 2020, ProKidney-KY’s name was changed from RegenMed (Cayman) Ltd. to inRegen and subsequently changed to ProKidney. ProKidney, LLC (formerly known as Twin City Bio LLC) (“ProKidney-US”) changed its name from Twin City Bio LLC to ProKidney, LLC. ProKidney-US is a Delaware limited liability company formed on December 18, 2015. In January 2019, ProKidney Bermuda acquired all of the equity interests in ProKidney-KY and ProKidney-US.</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ProKidney Bermuda acquired the equity interests in ProKidney-KY to develop its renal autologous cell therapy. ProKidney Bermuda acquired ProKidney-US to provide contractual development and manufacturing services to ProKidney-KY.</w:t>
      </w:r>
    </w:p>
    <w:p>
      <w:pPr>
        <w:jc w:val="center"/>
        <w:ind w:right="-2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5" w:right="599" w:bottom="1440" w:gutter="0" w:footer="0" w:header="0"/>
        </w:sectPr>
      </w:pPr>
    </w:p>
    <w:bookmarkStart w:id="8" w:name="page9"/>
    <w:bookmarkEnd w:id="8"/>
    <w:p>
      <w:pPr>
        <w:ind w:right="220" w:firstLine="509"/>
        <w:spacing w:after="0" w:line="257" w:lineRule="auto"/>
        <w:rPr>
          <w:sz w:val="20"/>
          <w:szCs w:val="20"/>
          <w:color w:val="auto"/>
        </w:rPr>
      </w:pPr>
      <w:r>
        <w:rPr>
          <w:rFonts w:ascii="Times New Roman" w:cs="Times New Roman" w:eastAsia="Times New Roman" w:hAnsi="Times New Roman"/>
          <w:sz w:val="18"/>
          <w:szCs w:val="18"/>
          <w:color w:val="auto"/>
        </w:rPr>
        <w:t>On August 5, 2021, PKLP was organized as a limited partnership under the Limited Partnerships Act, 1907 of Ireland (the “Irish LP Act”), and, as applicable, the Partnership Act 1890, of Ireland, with ProKidney Bermuda becoming a wholly owned subsidiary of PKLP. In September 2021, ProKidney Bermuda distributed its equity interests in ProKidney-KY and ProKidney-US</w:t>
      </w:r>
    </w:p>
    <w:p>
      <w:pPr>
        <w:spacing w:after="0" w:line="1" w:lineRule="exact"/>
        <w:rPr>
          <w:sz w:val="20"/>
          <w:szCs w:val="20"/>
          <w:color w:val="auto"/>
        </w:rPr>
      </w:pPr>
    </w:p>
    <w:p>
      <w:pPr>
        <w:ind w:left="60" w:right="1880"/>
        <w:spacing w:after="0" w:line="260" w:lineRule="auto"/>
        <w:rPr>
          <w:sz w:val="20"/>
          <w:szCs w:val="20"/>
          <w:color w:val="auto"/>
        </w:rPr>
      </w:pPr>
      <w:r>
        <w:rPr>
          <w:rFonts w:ascii="Times New Roman" w:cs="Times New Roman" w:eastAsia="Times New Roman" w:hAnsi="Times New Roman"/>
          <w:sz w:val="18"/>
          <w:szCs w:val="18"/>
          <w:color w:val="auto"/>
        </w:rPr>
        <w:t>to PKLP with the effect that ProKidney-KY and ProKidney-US became direct wholly-owned subsidiaries of PKLP. ProKidney Bermuda was dissolved in October of 2022.</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References to “ProKidney” or the “Company” generally refer to PKLP after its reorganization and to ProKidney Corp. following the Closing.</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0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goal is to become a fully integrated biopharmaceutical company pioneering treatments for CKD. Key components of our business strategy include the following:</w:t>
      </w:r>
    </w:p>
    <w:p>
      <w:pPr>
        <w:spacing w:after="0" w:line="158" w:lineRule="exact"/>
        <w:rPr>
          <w:sz w:val="20"/>
          <w:szCs w:val="20"/>
          <w:color w:val="auto"/>
        </w:rPr>
      </w:pPr>
    </w:p>
    <w:p>
      <w:pPr>
        <w:ind w:left="1320" w:right="60" w:hanging="472"/>
        <w:spacing w:after="0" w:line="254" w:lineRule="auto"/>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Obtain regulatory approval for, and successfully commercialize, rilparencel, initially as a treatment for patients with CKD and diabetes. </w:t>
      </w:r>
      <w:r>
        <w:rPr>
          <w:rFonts w:ascii="Times New Roman" w:cs="Times New Roman" w:eastAsia="Times New Roman" w:hAnsi="Times New Roman"/>
          <w:sz w:val="18"/>
          <w:szCs w:val="18"/>
          <w:color w:val="auto"/>
        </w:rPr>
        <w:t>We intend to continue to pursue the clinical development of rilparencel through our Phase 3 REGEN-006 trial that has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reviewed by the FDA. We activated the first site for our ongoing REGEN-006 (which we also call “PROACT 1”), in the fourth quarter of 2021 with the first Informed Consent Form signed and the first subject randomized into the trial in the first quarter of 2022. We believe that PROACT 1 could be sufficient to support a potential Biologics License Application (“BLA”) submission. Further, we believe that the accelerated approval pathway is available to rilparencel and that we could consider eGFR slope as a surrogate endpoint for accelerated approval. We are continuing to engage with the FDA, under our RMAT designation, to further define the details supporting this accelerated pathway. In addition to PROACT 1, we are also sponsoring a long-term follow-up trial, REGEN-008, for subjects who received rilparencel as part of our trials. This study was launched in the fourth quarter of 2023.</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1320" w:hanging="472"/>
        <w:spacing w:after="0" w:line="254" w:lineRule="auto"/>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Maintain and continually refine our sophisticated internal expertise in manufacturing our products. </w:t>
      </w:r>
      <w:r>
        <w:rPr>
          <w:rFonts w:ascii="Times New Roman" w:cs="Times New Roman" w:eastAsia="Times New Roman" w:hAnsi="Times New Roman"/>
          <w:sz w:val="18"/>
          <w:szCs w:val="18"/>
          <w:color w:val="auto"/>
        </w:rPr>
        <w:t>We have developed and built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facility, intended to be operated in compliance with current good manufacturing practices (“cGMPs”), in which we manufacture rilparencel for clinical trials and plan to continue to develop for purposes of the eventual commercial manufacturing process, assuming receipt of necessary regulatory approvals. Our current manufacturing facility is capable of manufacturing product for our ongoing clinical trials and could serve as our commercial launch facility. We anticipate expanding our manufacturing footprint within our existing premises to meet demand for rilparencel upon commercialization.</w:t>
      </w:r>
    </w:p>
    <w:p>
      <w:pPr>
        <w:spacing w:after="0" w:line="3" w:lineRule="exact"/>
        <w:rPr>
          <w:rFonts w:ascii="Times New Roman" w:cs="Times New Roman" w:eastAsia="Times New Roman" w:hAnsi="Times New Roman"/>
          <w:sz w:val="18"/>
          <w:szCs w:val="18"/>
          <w:color w:val="auto"/>
        </w:rPr>
      </w:pPr>
    </w:p>
    <w:p>
      <w:pPr>
        <w:ind w:left="1320" w:right="160" w:hanging="472"/>
        <w:spacing w:after="0" w:line="252" w:lineRule="auto"/>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Discover and develop additional product candidates for the treatment of kidney diseases utilizing our cell therapy approach.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has extensive experience in discovery research and deep expertise in kidney disease. While executing its primary mission to develop and commercialize rilparencel, our team will investigate additional disease pathways associated with kidney disease, identify key targets for intervention and generate product candidates against these targets. We may also in-license from, collaborate with, or acquire third parties to develop product candidates that we, based on our understanding of kidney diseases and pathways, believe are promising therapeutics.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Kidney Disease Overview</w:t>
      </w:r>
    </w:p>
    <w:p>
      <w:pPr>
        <w:spacing w:after="0" w:line="108"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CKD is highly prevalent in the United States and European Union. Based on available U.S. data from the 2018 National Health and Nutritional Examination Survey, we expect the aggregate CKD population in the United States and European Union to grow from approximately 70 million in 2020 to approximately 80 million in 2030 and approximately 93 million in 2040. The most common causes of CKD among adults are diabetes, hypertension, and glomerular disease. In the United States, it is believed that approximately 3.2 million patients per year suffer from stage 3b or 4 CKD and 1.2 to 1.8 million of those patients could be eligible for treatment with rilparencel.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Working to Preserve Kidney Function through Autologous Cell Therapy</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Autologous cell therapy refers to the prevention or treatment of human disease by administering a person’s own cells that have been expanded, selected and formulated outside the body and subsequently injected into the body of the patient from whom the cells were derived. We believe that our technology has the potential to preserve kidney function by using a patient’s own SRC.</w:t>
      </w:r>
    </w:p>
    <w:p>
      <w:pPr>
        <w:spacing w:after="0" w:line="68"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Rilparencel is an autologous cell therapy. It includes a homologous cell mixture, SRC prepared from each individual subject’s own kidney biopsy tissue.</w:t>
      </w:r>
    </w:p>
    <w:p>
      <w:pPr>
        <w:spacing w:after="0" w:line="54" w:lineRule="exact"/>
        <w:rPr>
          <w:sz w:val="20"/>
          <w:szCs w:val="20"/>
          <w:color w:val="auto"/>
        </w:rPr>
      </w:pPr>
    </w:p>
    <w:p>
      <w:pPr>
        <w:ind w:right="120" w:firstLine="509"/>
        <w:spacing w:after="0" w:line="241" w:lineRule="auto"/>
        <w:rPr>
          <w:sz w:val="20"/>
          <w:szCs w:val="20"/>
          <w:color w:val="auto"/>
        </w:rPr>
      </w:pPr>
      <w:r>
        <w:rPr>
          <w:rFonts w:ascii="Times New Roman" w:cs="Times New Roman" w:eastAsia="Times New Roman" w:hAnsi="Times New Roman"/>
          <w:sz w:val="18"/>
          <w:szCs w:val="18"/>
          <w:color w:val="auto"/>
        </w:rPr>
        <w:t>Preparing rilparencel begins when a biopsy of the diseased kidney is sent to our laboratory where the kidney cells are expanded and SRC selected. SRC are formulated into a cryopreserved product at a concentration of approximately 100 x 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cells/mL and shipped frozen to the clinical site where they can be injected into the cortex of the damaged kidney of the patient. Due to one severe bleed that occurred during an early rilparencel injection procedure, we switched to the use of a noncutting needle design for the rilparencel procedure. In non-clinical studies, SRCs injected into the cortex of a diseased kidney were found to</w:t>
      </w:r>
    </w:p>
    <w:p>
      <w:pPr>
        <w:spacing w:after="0" w:line="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3" w:right="479" w:bottom="1440" w:gutter="0" w:footer="0" w:header="0"/>
        </w:sectPr>
      </w:pPr>
    </w:p>
    <w:bookmarkStart w:id="9" w:name="page10"/>
    <w:bookmarkEnd w:id="9"/>
    <w:p>
      <w:pPr>
        <w:ind w:right="240"/>
        <w:spacing w:after="0" w:line="258" w:lineRule="auto"/>
        <w:rPr>
          <w:sz w:val="20"/>
          <w:szCs w:val="20"/>
          <w:color w:val="auto"/>
        </w:rPr>
      </w:pPr>
      <w:r>
        <w:rPr>
          <w:rFonts w:ascii="Times New Roman" w:cs="Times New Roman" w:eastAsia="Times New Roman" w:hAnsi="Times New Roman"/>
          <w:sz w:val="18"/>
          <w:szCs w:val="18"/>
          <w:color w:val="auto"/>
        </w:rPr>
        <w:t>distribute from the injection site to throughout the kidney, with localization in the peritubular, juxta-tubular and intratubular regions. To date, clinical studies suggest that treatment with rilparencel in patients with CKD and type 2 diabetes may positively impact kidney function, shown by a stabilization in eGFR or attenuations in the rate of eGFR decline. Other improvements observed with non-clinical and clinical SRC treatment include metabolic, as well as filtration benefits, stabilization and/or reduction in urinary albumin-creatinine ratio (“UACR”), increased kidney cortical thickness, improved hemoglobin levels, and improvements in calcium phosphate and vitamin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436880</wp:posOffset>
            </wp:positionV>
            <wp:extent cx="4577715" cy="3103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77715"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Mechanism of Action of Rilparencel</w:t>
      </w:r>
    </w:p>
    <w:p>
      <w:pPr>
        <w:spacing w:after="0" w:line="121"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8"/>
          <w:szCs w:val="18"/>
          <w:color w:val="auto"/>
        </w:rPr>
        <w:t>SRC, injected into the kidney cortex, are believed to provide a molecular and mechanistic basis for activation of endogenous renal repair mechanisms that are still active in the chronically diseased kidney. Non-clinical studies in multiple animal models of CKD have demonstrated that SRC injected directly into the kidney cortex could affect a reparative response in multiple locations of the nephron through direct cell-cell communication utilizing putative autocrine/paracrine mechanisms involving secreted factors. In animal models of CKD, treatment with SRC preserved kidney function, reduced proteinuria and provided a significant survival benefit. Additionally, there is evidence from non-clinical models suggesting that injected SRC may augment other important kidney functions related to bone and mineral metabolism and hematopoiesis. In animal models of CKD, SRC have been shown to minimize the development of osteoclastic bone resorption, which is characteristically due to secondary hyperparathyroidism in CKD, and improve cellularity in marrow related to red blood cell production.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Rilparencel is currently in Phase 3 development, as well as an ongoing Phase 2 clinical trial, for the treatment of moderate to severe CKD and diabetes. We plan to conduct our Phase 3 study, PROACT 1, at approximately 75 clinical sites based in the United States, Asia and Latin America. To date, clinical studies in participants with CKD and diabetes suggest that treatment with rilparencel may delay or prevent renal replacement therapy (“RRT”) by stabilizing eGFR. Other potential improvements observed with rilparencel in earlier studies include stabilization in UACR, increased kidney cortical thickness, improvement in serum bicarbonate, and stabilization of hemoglobin levels. The potential benefits of rilparencel will be evaluated in the Phase 3 study.</w:t>
      </w:r>
    </w:p>
    <w:p>
      <w:pPr>
        <w:spacing w:after="0" w:line="79" w:lineRule="exact"/>
        <w:rPr>
          <w:sz w:val="20"/>
          <w:szCs w:val="20"/>
          <w:color w:val="auto"/>
        </w:rPr>
      </w:pPr>
    </w:p>
    <w:p>
      <w:pPr>
        <w:ind w:right="20" w:firstLine="554"/>
        <w:spacing w:after="0" w:line="254" w:lineRule="auto"/>
        <w:rPr>
          <w:sz w:val="20"/>
          <w:szCs w:val="20"/>
          <w:color w:val="auto"/>
        </w:rPr>
      </w:pPr>
      <w:r>
        <w:rPr>
          <w:rFonts w:ascii="Times New Roman" w:cs="Times New Roman" w:eastAsia="Times New Roman" w:hAnsi="Times New Roman"/>
          <w:sz w:val="18"/>
          <w:szCs w:val="18"/>
          <w:color w:val="auto"/>
        </w:rPr>
        <w:t>The ongoing clinical development program utilizes an image-guided percutaneous injection method into the kidney that is conducted using conscious sedation in an outpatient same-day procedure. The procedure appears to be generally well tolerated with the most commonly observed procedure related events including nausea, vomiting, fever, and hematuria with kidney biopsy. In the RMCL-002 trial, which used a different formulation of the rilparencel product and a different procedure method from that presently used in our Phase 3 trials, one participant experienced serious adverse events that included scarring or fibrosis and a decrease in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 w:name="page11"/>
    <w:bookmarkEnd w:id="10"/>
    <w:p>
      <w:pPr>
        <w:spacing w:after="0" w:line="258" w:lineRule="auto"/>
        <w:rPr>
          <w:sz w:val="20"/>
          <w:szCs w:val="20"/>
          <w:color w:val="auto"/>
        </w:rPr>
      </w:pPr>
      <w:r>
        <w:rPr>
          <w:rFonts w:ascii="Times New Roman" w:cs="Times New Roman" w:eastAsia="Times New Roman" w:hAnsi="Times New Roman"/>
          <w:sz w:val="18"/>
          <w:szCs w:val="18"/>
          <w:color w:val="auto"/>
        </w:rPr>
        <w:t>kidney function. A second participant experienced decreased kidney blood flow observed on contrast-enhanced computerized tomography (“CT”) imaging and a decrease in kidney function. Serious adverse events, including injection-related pain, kidney-related events such as hematoma, renal vascular events, eGFR decline and acute kidney injury, have also been reported. Other serious adverse events, including acute myocardial infarction, acute respiratory failure, end stage renal disease, and coronary artery disease have been reported and are generally associated with the co-morbidities of patients with type 2 diabetes.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Unmet Need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Kidney Disease</w:t>
      </w:r>
    </w:p>
    <w:p>
      <w:pPr>
        <w:spacing w:after="0" w:line="119" w:lineRule="exact"/>
        <w:rPr>
          <w:sz w:val="20"/>
          <w:szCs w:val="20"/>
          <w:color w:val="auto"/>
        </w:rPr>
      </w:pPr>
    </w:p>
    <w:p>
      <w:pPr>
        <w:ind w:right="240" w:firstLine="509"/>
        <w:spacing w:after="0" w:line="253" w:lineRule="auto"/>
        <w:rPr>
          <w:sz w:val="20"/>
          <w:szCs w:val="20"/>
          <w:color w:val="auto"/>
        </w:rPr>
      </w:pPr>
      <w:r>
        <w:rPr>
          <w:rFonts w:ascii="Times New Roman" w:cs="Times New Roman" w:eastAsia="Times New Roman" w:hAnsi="Times New Roman"/>
          <w:sz w:val="18"/>
          <w:szCs w:val="18"/>
          <w:color w:val="auto"/>
        </w:rPr>
        <w:t>CKD is characterized by progressive disease that, without therapeutic intervention, will worsen until the afflicted person dies or reaches end-stage renal disease (“ESRD”). CKD patients have progressive damage and loss of function in their kidneys, evidenced by decreased eGFR and / or increased excretion of urinary albumin, as observed through laboratory testing. The global adult prevalence of CKD is estimated to be 10% with ranges of 8-16% in various populations. CKD is often associated with considerable comorbidities, such as diabetes, and is often accompanied by adverse outcomes due to underlying disease states and/or risk factors such as cardiovascular disease, hypertension and diabetes, causing an increased risk of mortality. Ninety-seven percent of patients with moderate to severe CKD have asymptomatic disease, and this stage of CKD is associated with a two-to four-fold rise in cardiovascular disease risk, along with a significant increase in all-cause mortality. Only a small proportion of CKD patients progress to ESRD (i.e., Stage 5 disease), but the increasing life expectancy of humans has led to growing numbers of patients with chronic diseases and end-stage organ failure. Even with costly treatments, patients with ESRD experience substantial morbidity and mortality. To survive, ESRD patients require renal replacement therapy (RRT) with peritoneal dialysis, hemodialysis or kidney transplantation. Preventing or delaying progression of CKD, delaying the onset of medical complications and treating comorbidities are key strategies for CKD management. Approved therapies for patients with CKD have been shown to delay CKD progression in some patients. However, many patients continue to lose kidney function and progress to ESRD.</w:t>
      </w:r>
    </w:p>
    <w:p>
      <w:pPr>
        <w:spacing w:after="0" w:line="82" w:lineRule="exact"/>
        <w:rPr>
          <w:sz w:val="20"/>
          <w:szCs w:val="20"/>
          <w:color w:val="auto"/>
        </w:rPr>
      </w:pPr>
    </w:p>
    <w:p>
      <w:pPr>
        <w:ind w:right="380" w:firstLine="509"/>
        <w:spacing w:after="0" w:line="228" w:lineRule="auto"/>
        <w:rPr>
          <w:sz w:val="20"/>
          <w:szCs w:val="20"/>
          <w:color w:val="auto"/>
        </w:rPr>
      </w:pPr>
      <w:r>
        <w:rPr>
          <w:rFonts w:ascii="Times New Roman" w:cs="Times New Roman" w:eastAsia="Times New Roman" w:hAnsi="Times New Roman"/>
          <w:sz w:val="18"/>
          <w:szCs w:val="18"/>
          <w:color w:val="auto"/>
        </w:rPr>
        <w:t>The major causes of CKD in adults are diabetes and hypertension. Nearly half of all CKD cases arise from diabetes, with or without hypertension. The incidence of CKD continues to increase and is primarily due to the increased worldwide incidence of type 2 diabetes and metabolic syndrome. Staging and grading of kidney function relies upon eGFR and urine measurement of albumin excretion (“albuminuria”). KDIGO 2012 Clinical Practice Guideline for the Evaluation and Management of Chronic Kidney Disease provided guidelines intended to aid general practitioners and nephrologists in the evaluation, classification, and management of CKD in both adults and children. As set forth below, Figure 1 categorizes the risk of ESRD from “low” to “very high” based on both eGFR measurements, ranging from &gt;90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&lt;30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and albuminuria classifications ranging from &lt;30 mg/g to &gt;300 mg/g. Chronic kidney failure occurs when eGFR is &lt; 15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for 3 or more months, and is often treated by dialysis or kidney transplantation.</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of Classification Estimates for CKD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156845</wp:posOffset>
            </wp:positionV>
            <wp:extent cx="5863590" cy="323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63590"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Treatment of patients with CKD focuses on treating comorbidities (such as diabetes and hypertension) and medical complications, reducing cardiovascular risk, slowing decline of kidney function and preparing for kidney failure or kidney replacement therapy. For many patients, CKD occurs as part of a complex comorbidity cluster including cardiovascular disease and type 2 diabetes.</w:t>
      </w:r>
    </w:p>
    <w:p>
      <w:pPr>
        <w:spacing w:after="0" w:line="6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Pharmacological therapy may include the administration of any or all of the following: angiotensin converting enzyme (“ACE”) inhibitors or angiotensin receptor blockers (“ARB”), sodium-glucose cotransporter-2 (SGLT-2) inhibitors, nonsteroidal mineralocorticoid receptor antagonists (“nsMRAs”), insulin and/or other anti-diabetic agents for glycemic control and lipid lowering therapy.</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When a patient reaches ESRD, RRT in the form of kidney dialysis or transplantation is generally required to prolong life. The vast majority of dialysis patients in the United States and certain other developed countries receive dialysis primarily in the form of center hemodialysis, peritoneal dialysis or home hemodialysis. Dialysis removes toxins that accumulate in the absence of normally functioning kidneys; dialysis also helps to restore fluid and electrolyte balance when kidneys fail. Hemodialysis has been associated with multiple, serious complications as well as interference with quality of life. Although kidney transplantation currently remains the most effective form of RRT for ESRD, there is a chronic shortage of organs. If a patient can secure a kidney for transplantation, long-term immunosuppressive therapy is required to prevent rejection. Use of immunosuppressants results in a higher incidence of infection and, over the long term, some types of cancer. And while xenotransplantation might be a promising alternative approach in the future to bridge the gap between the supply and demand of human organs, tissues, and cells, immunological barriers are limiting factors in clinical xenotransplantation at the current time.</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While patients continue to lose kidney function while on existing therapies, the cost of CKD treatment is high and the rates of CKD and ESRD, along with the associated expenditures, are expected to continue to rise. A major source of healthcare expenditure in the United States, the annual Medicare fee-for-service (“FFS”) spending for all beneficiaries with CKD was $86.1 billion in 2021, or 22.6% of total spend, and patients with ESRD accounted for $52.3 billion of spend. ESRD only affects 1% of Medicare beneficiaries but historically has accounted for approximately 7% of Medicare spending, and dialysis treatments account for a large part of the economic burden. Per-person per-year (“PPPY”) expenditures in 2021 for all dialysis ESRD patients on Medicare averaged $82,167. On the private insurance side, dialysis is significantly more expensive than Medicare. Mean spending in the first 12 months after a patient started dialysis based on an analysis from 2015-2017 was $238,126 for private insurance compared to $80,509 for FFS Medicare.</w:t>
      </w:r>
    </w:p>
    <w:p>
      <w:pPr>
        <w:spacing w:after="0" w:line="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78" w:right="6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w:t>
      </w:r>
    </w:p>
    <w:p>
      <w:pPr>
        <w:spacing w:after="0" w:line="10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completed clinical trials and currently ongoing clinical trials of rilparencel are summarized below; the name of the product candidate tested in the trials was changed after completion of some of the trials from Neo-Kidney Augment (“NKA”) to REACT or rilparencel.</w:t>
      </w:r>
    </w:p>
    <w:p>
      <w:pPr>
        <w:spacing w:after="0" w:line="40"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summary below also includes interim results which are based on a preliminary analysis of then available data, the results, related findings and conclusions of which are subject to change following a more comprehensive review of the data related to the specific trial. In particular, we announced interim results from our ongoing REGEN-007 Phase 2 clinical trial in June 2024. Interim results from clinical trials that we may complete are not necessarily indicative of results from future data and are subject to the risk that one or more of the clinical outcomes may materially change as more patient data become available. Preliminary or topline results also remain subject to audit and verification procedures that may result in the final data being materially different from any preliminary data that we may previously publish. As a result, interim and preliminary data should be viewed with caution until the final data are available.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CKD and Diabetes or CAKUT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1 Clinical Development (TNG-CL010, TNG-CL011, REGEN-004 and REGEN-015)</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TNG-CL010 was an open-label safety and delivery optimization study of rilparencel (formerly known as NKA) conducted in Sweden in subjects with CKD. TNG-CL010 commenced in April 2013 and completed in December 2014. TNG-CL011 was also an open-label safety and delivery optimization study of rilparencel in subjects with CKD and type 2 diabetes and CKD conducted in the United States. TNG-CL011 commenced with first subject enrolled in February 2014 and completed in December 2014.</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primary objective of these trials was to assess the safety and delivery of rilparencel when injected into one kidney. Six subjects from Sweden (TNG-CL010) and one from the United States with CKD and type 2 diabetes, ranging in age from 53-70 years, eGFR levels between 19-34 (average 25 +/- 2, Cystatin C) and iohexol clearance of 15-39 (average 26 +/- 3), were enrolled. One subject with CKD and type 2 diabetes was enrolled in TNG-CL011.</w:t>
      </w:r>
    </w:p>
    <w:p>
      <w:pPr>
        <w:spacing w:after="0" w:line="72" w:lineRule="exact"/>
        <w:rPr>
          <w:sz w:val="20"/>
          <w:szCs w:val="20"/>
          <w:color w:val="auto"/>
        </w:rPr>
      </w:pPr>
    </w:p>
    <w:p>
      <w:pPr>
        <w:ind w:right="260" w:firstLine="509"/>
        <w:spacing w:after="0" w:line="255" w:lineRule="auto"/>
        <w:rPr>
          <w:sz w:val="20"/>
          <w:szCs w:val="20"/>
          <w:color w:val="auto"/>
        </w:rPr>
      </w:pPr>
      <w:r>
        <w:rPr>
          <w:rFonts w:ascii="Times New Roman" w:cs="Times New Roman" w:eastAsia="Times New Roman" w:hAnsi="Times New Roman"/>
          <w:sz w:val="18"/>
          <w:szCs w:val="18"/>
          <w:color w:val="auto"/>
        </w:rPr>
        <w:t>The results from the Phase 1 trials indicate that rilparencel was well tolerated when administered to the kidney, with no adverse events from rilparencel. When the decline of kidney function pre-and post- injection were compared, the subjects receiving rilparencel in this Phase 1 trial had an imputed delay in dialysis of approximately 1.5 years beyond the standard of care based on a reduced rate of decline in eGFR from pre-injection baseline. Cortical thickness increased in the injected kidney from an average of 14 mm at time of injection to approximately 16 mm after one year. Kidney function was preserved following the rilparencel injection by iohexol clearance and based on the subjects’ ACRs. Subjects with a baseline anemia (n = 3 of 7) showed improved hemoglobin levels after rilparencel injection, and the remaining subjects maintained normal levels during the study. Antihypertensive medication was reduced in three of six subjects during the first six months following injection with rilparencel.</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data from TNG-CL011 was accepted by FDA as part of a clinical data package submitted to progress to Phase 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2 Clinical Development (RMCL-001, RMCL-002, REGEN-003, and REGEN-007)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RMCL-001:</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RMCL-001 was a Phase 2, open-label safety and efficacy study of rilparencel in subjects with CKD and type 2 diabetes. The study commenced in May 2016 and ended in May 2017.</w:t>
      </w:r>
    </w:p>
    <w:p>
      <w:pPr>
        <w:spacing w:after="0" w:line="54" w:lineRule="exact"/>
        <w:rPr>
          <w:sz w:val="20"/>
          <w:szCs w:val="20"/>
          <w:color w:val="auto"/>
        </w:rPr>
      </w:pPr>
    </w:p>
    <w:p>
      <w:pPr>
        <w:ind w:firstLine="509"/>
        <w:spacing w:after="0" w:line="227" w:lineRule="auto"/>
        <w:rPr>
          <w:sz w:val="20"/>
          <w:szCs w:val="20"/>
          <w:color w:val="auto"/>
        </w:rPr>
      </w:pPr>
      <w:r>
        <w:rPr>
          <w:rFonts w:ascii="Times New Roman" w:cs="Times New Roman" w:eastAsia="Times New Roman" w:hAnsi="Times New Roman"/>
          <w:sz w:val="18"/>
          <w:szCs w:val="18"/>
          <w:color w:val="auto"/>
        </w:rPr>
        <w:t>The primary objective of this study was to assess the safety and efficacy of a second rilparencel injection using a minimally invasive percutaneous procedure that was done under conscious sedation as a same-day outpatient procedure. A single subject with an eGFR of 14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was enrolled from the Phase 1 study (TNG-CL011) described above. The second dose of rilparencel was manufactured from cryopreserved kidney cells obtained from the Phase 1 kidney biopsy. The subject was administered a dose of 3x10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cells/g-KW</w:t>
      </w:r>
      <w:r>
        <w:rPr>
          <w:rFonts w:ascii="Times New Roman" w:cs="Times New Roman" w:eastAsia="Times New Roman" w:hAnsi="Times New Roman"/>
          <w:sz w:val="24"/>
          <w:szCs w:val="24"/>
          <w:color w:val="auto"/>
          <w:vertAlign w:val="superscript"/>
        </w:rPr>
        <w:t>est</w:t>
      </w:r>
      <w:r>
        <w:rPr>
          <w:rFonts w:ascii="Times New Roman" w:cs="Times New Roman" w:eastAsia="Times New Roman" w:hAnsi="Times New Roman"/>
          <w:sz w:val="18"/>
          <w:szCs w:val="18"/>
          <w:color w:val="auto"/>
        </w:rPr>
        <w:t>. The subject’s eGFR increased to approximately 20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for a period of eight months, after which the subject experienced a precipitous drop in kidney function and began hemodialysis. The study was terminated by the sponsor of the clinical trial after this subject went onto dialysis and resources were diverted to study RMCL-002.</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RMCL-002:</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RMCL-002 was a Phase 2, prospective, randomized, double-arm, deferred treatment, open-label, repeat dose, safety and efficacy study of rilparencel in subjects with type 2 diabetes and CKD. The first subject was enrolled in this study in February 2017, and all subjects have completed follow-up.</w:t>
      </w:r>
    </w:p>
    <w:p>
      <w:pPr>
        <w:spacing w:after="0" w:line="68" w:lineRule="exact"/>
        <w:rPr>
          <w:sz w:val="20"/>
          <w:szCs w:val="20"/>
          <w:color w:val="auto"/>
        </w:rPr>
      </w:pPr>
    </w:p>
    <w:p>
      <w:pPr>
        <w:ind w:right="20" w:firstLine="509"/>
        <w:spacing w:after="0" w:line="231" w:lineRule="auto"/>
        <w:rPr>
          <w:sz w:val="20"/>
          <w:szCs w:val="20"/>
          <w:color w:val="auto"/>
        </w:rPr>
      </w:pPr>
      <w:r>
        <w:rPr>
          <w:rFonts w:ascii="Times New Roman" w:cs="Times New Roman" w:eastAsia="Times New Roman" w:hAnsi="Times New Roman"/>
          <w:sz w:val="18"/>
          <w:szCs w:val="18"/>
          <w:color w:val="auto"/>
        </w:rPr>
        <w:t>The primary objective of this study was to assess the safety and efficacy of up to two rilparencel injections given six months (+ 4 weeks) apart in patients with CKD and type 2 diabetes with eGFRs between 20 and 50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with both doses</w:t>
      </w:r>
    </w:p>
    <w:p>
      <w:pPr>
        <w:spacing w:after="0" w:line="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5" w:right="599" w:bottom="1440" w:gutter="0" w:footer="0" w:header="0"/>
        </w:sectPr>
      </w:pPr>
    </w:p>
    <w:bookmarkStart w:id="13" w:name="page14"/>
    <w:bookmarkEnd w:id="13"/>
    <w:p>
      <w:pPr>
        <w:ind w:right="140"/>
        <w:spacing w:after="0" w:line="275" w:lineRule="auto"/>
        <w:rPr>
          <w:sz w:val="20"/>
          <w:szCs w:val="20"/>
          <w:color w:val="auto"/>
        </w:rPr>
      </w:pPr>
      <w:r>
        <w:rPr>
          <w:rFonts w:ascii="Times New Roman" w:cs="Times New Roman" w:eastAsia="Times New Roman" w:hAnsi="Times New Roman"/>
          <w:sz w:val="18"/>
          <w:szCs w:val="18"/>
          <w:color w:val="auto"/>
        </w:rPr>
        <w:t>delivered into the biopsied kidney using an outpatient, minimally invasive, percutaneous approach under conscious sedation completed in less than 90 minutes. Patients received two doses of rilparencel of 3x10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cells/g-KW</w:t>
      </w:r>
      <w:r>
        <w:rPr>
          <w:rFonts w:ascii="Times New Roman" w:cs="Times New Roman" w:eastAsia="Times New Roman" w:hAnsi="Times New Roman"/>
          <w:sz w:val="24"/>
          <w:szCs w:val="24"/>
          <w:color w:val="auto"/>
          <w:vertAlign w:val="superscript"/>
        </w:rPr>
        <w:t>est</w:t>
      </w:r>
      <w:r>
        <w:rPr>
          <w:rFonts w:ascii="Times New Roman" w:cs="Times New Roman" w:eastAsia="Times New Roman" w:hAnsi="Times New Roman"/>
          <w:sz w:val="18"/>
          <w:szCs w:val="18"/>
          <w:color w:val="auto"/>
        </w:rPr>
        <w:t xml:space="preserve"> each.</w:t>
      </w: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Patients were randomized (1:1) to the active treatment group and the deferred treatment group (i.e., the control group) following kidney biopsy. Subjects in the active treatment group received their first rilparencel injection as soon as the rilparencel product was manufactured and shipped to the clinical site. After six months (up to four weeks after target date), a second injection was given, as appropriate. In contrast, subjects in the deferred treatment group underwent a 12-month period of observation after kidney biopsy. The deferred treatment group allowed assessment of the rate of change in kidney function and co-morbidities in a nonexposed group compared to the active treatment arm. During this time, they received contemporaneous, standard-of-care therapy for CKD while undergoing follow-up evaluations every three months, similar to subjects in the active treatment group. After 12 months, subjects from the deferred treatment group received up to two rilparencel injections given six months apart (+/- four weeks of the target date), as appropriate. Consequently, the study design included a randomized control group receiving standard-of-care treatment for the first 12 months and a randomized, active treatment group receiving up to two rilparencel injections and follow-up evaluations during the same period of time.</w:t>
      </w:r>
    </w:p>
    <w:p>
      <w:pPr>
        <w:spacing w:after="0" w:line="86"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aggregate number of subjects enrolled in the Phase 2 clinical trial was 83. Upon withdrawal and/or replacement of two subjects, 81 subjects were enrolled as of December 2020, of which 41 subjects were enrolled into the active treatment group and 42 subjects were enrolled into the deferred treatment group.</w:t>
      </w:r>
    </w:p>
    <w:p>
      <w:pPr>
        <w:spacing w:after="0" w:line="75"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final results for safety and efficacy were presented at the 61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ERA Congress in May 2024. The rate of progression of kidney function for the active treatment group, assessed via pre-randomized serial measurements of eGFR over 24 months after the last rilparencel injection, was compared to that of the deferred treatment group. In addition, each subject’s baseline rate of eGFR decline, derived from historical and clinical data, was compared to the individual subject’s rate of eGFR decline through 24 months following the final rilparencel injection. Patients were followed for 24 months after their last rilparencel injection in part 1 of the trial. An open label extension portion of the study (part 2) was added in February 2021 to follow all subjects for an additional 3 years. Visits will be conducted at 3-month intervals to give a total of 5 years (part 1 + part 2) of follow-up after the last rilparencel injection.</w:t>
      </w:r>
    </w:p>
    <w:p>
      <w:pPr>
        <w:spacing w:after="0" w:line="9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final results indicated a safety profile in line with previously reported data from earlier Phase 1 and Phase 2 trials, with tolerability similar to that of a routine kidney biopsy. Overall, the trial data demonstrated rilparencel’s potential for kidney function preservation in patients with advanced CKD and type 2 diabetes, with the most notable potential benefit shown in patients who had the highest risk of kidney failure (CKD Stage 4 with moderate to severe albuminuria).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REGEN-003:</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REGEN-003 is a completed Phase 2, prospective open-label, single-arm, safety and tolerability study of rilparencel in subjects with CKD and type 2 diabetes, specifically those with high-risk late Stage 4 CKD. This study enrolled its first patient in March 2018. The early results were published online in January 2023 in the </w:t>
      </w:r>
      <w:r>
        <w:rPr>
          <w:rFonts w:ascii="Times New Roman" w:cs="Times New Roman" w:eastAsia="Times New Roman" w:hAnsi="Times New Roman"/>
          <w:sz w:val="18"/>
          <w:szCs w:val="18"/>
          <w:i w:val="1"/>
          <w:iCs w:val="1"/>
          <w:color w:val="auto"/>
        </w:rPr>
        <w:t>Journal of Blood Purification</w:t>
      </w:r>
      <w:r>
        <w:rPr>
          <w:rFonts w:ascii="Times New Roman" w:cs="Times New Roman" w:eastAsia="Times New Roman" w:hAnsi="Times New Roman"/>
          <w:sz w:val="18"/>
          <w:szCs w:val="18"/>
          <w:color w:val="auto"/>
        </w:rPr>
        <w:t xml:space="preserve"> in a manuscript entitled, “Renal Autologous Cell Therapy (REACT) in Type 2 Diabetes with Late Stage 4 Diabetes-Related Chronic Kidney Disease: Trial Design and Early Analysis” (DOI: doi.org/10.1159/000527582). Clinical study results were submitted to the FDA on September 8, 2023.</w:t>
      </w:r>
    </w:p>
    <w:p>
      <w:pPr>
        <w:spacing w:after="0" w:line="7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primary objective of this study was to assess the safety and efficacy of up to two rilparencel injections given six months apart (up to four weeks after target date) in patients with CKD and type 2 diabetes and with eGFRs between 14 and 20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Subjects received up to two doses of rilparencel of 3x10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cells/g-KW</w:t>
      </w:r>
      <w:r>
        <w:rPr>
          <w:rFonts w:ascii="Times New Roman" w:cs="Times New Roman" w:eastAsia="Times New Roman" w:hAnsi="Times New Roman"/>
          <w:sz w:val="24"/>
          <w:szCs w:val="24"/>
          <w:color w:val="auto"/>
          <w:vertAlign w:val="superscript"/>
        </w:rPr>
        <w:t>est</w:t>
      </w:r>
      <w:r>
        <w:rPr>
          <w:rFonts w:ascii="Times New Roman" w:cs="Times New Roman" w:eastAsia="Times New Roman" w:hAnsi="Times New Roman"/>
          <w:sz w:val="18"/>
          <w:szCs w:val="18"/>
          <w:color w:val="auto"/>
        </w:rPr>
        <w:t xml:space="preserve"> each delivered into the biopsied kidney using a minimally invasive percutaneous approach.</w:t>
      </w:r>
    </w:p>
    <w:p>
      <w:pPr>
        <w:spacing w:after="0" w:line="1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This study enrolled a total of ten adults (five men and five women). Following a percutaneous kidney biopsy and ex vivo expansion of SRC that form rilparencel, the rilparencel product was injected into the cortex of the biopsied kidney with CT image guidance. Nine participants received two doses of the rilparencel product at six-month intervals; one participant received only one injection. A six-month observation period pre-trial was required to establish a patient’s “own” baseline and rate of CKD progression. There were no cell product-related serious adverse events reported. Serious renal-linked adverse events related to the rilparencel procedure were reported in three participants, including acute kidney injury, CKD progression, renal arteriovenous fistula and hematomas, each of which required observation without transfusion or angiographic interventions. At the final analysis, median time to dialysis was 19.4 months (interquartile range 13.3-27.9). Two patients (20%) completed the study (24 months after the second injection) without advancing to RRT. One patient died due to complications related to COVID, and an additional subject died due to a myocardial infarction approximately 18 months after enrollment. The results from this study suggest that rilparencel has the potential to delay dialysis in high-risk Stage 4 and Stage 5 CKD patients.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REGEN-007:</w:t>
      </w:r>
    </w:p>
    <w:p>
      <w:pPr>
        <w:spacing w:after="0" w:line="121"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REGEN-007 is an ongoing Phase 2, prospective, randomized, open-label, repeat dose, two group, safety and efficacy study of rilparencel in subjects with type 1 or 2 diabetes and CKD.</w:t>
      </w:r>
    </w:p>
    <w:p>
      <w:pPr>
        <w:jc w:val="center"/>
        <w:ind w:right="-2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93" w:right="619" w:bottom="1440" w:gutter="0" w:footer="0" w:header="0"/>
        </w:sectPr>
      </w:pPr>
    </w:p>
    <w:bookmarkStart w:id="14" w:name="page15"/>
    <w:bookmarkEnd w:id="14"/>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The primary objective of Group 1 is to assess the safety and efficacy of up to two rilparencel injections given three months apart (up to 60 days after target date) in patients with CKD and type 1 and 2 diabetes with eGFRs between 20 and 50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and delivered into biopsied and non-biopsied contralateral kidneys using a minimally invasive percutaneous approach. Additionally, the primary objective of Group 2 is to administer a single rilparencel injection followed by monitoring and a potential administration of a second rilparencel injection delivered into the non-biopsied contralateral kidney triggered by a 20% decrease in eGFR and/or a 30% increase in urinary albumin-creatinine ratio (UACR) delivered within approximately 60 days of the trigger being met. In previous Phase 2 studies we injected rilparencel into the same kidney twice. Based on a generally favorable safety profile observed in previous studies, in REGEN-007 we are now proceeding with the injection of rilparencel into both kidneys. We expect the data generated by REGEN-007 will enable us to better understand the impact of rilparencel on kidney function from injections in both kidneys, which is the dosing regimen for our Phase 3 study.</w:t>
      </w:r>
    </w:p>
    <w:p>
      <w:pPr>
        <w:spacing w:after="0" w:line="85"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By injecting both kidneys, patients have maximal exposure to rilparencel cells, with the potential to impact a greater proportion of kidney mass. Further, the number of glomeruli (the filtering units of the kidney) that are amenable to regenerative therapy is effectively doubled when injecting both kidneys.</w:t>
      </w:r>
    </w:p>
    <w:p>
      <w:pPr>
        <w:spacing w:after="0" w:line="75" w:lineRule="exact"/>
        <w:rPr>
          <w:sz w:val="20"/>
          <w:szCs w:val="20"/>
          <w:color w:val="auto"/>
        </w:rPr>
      </w:pPr>
    </w:p>
    <w:p>
      <w:pPr>
        <w:ind w:right="180" w:firstLine="509"/>
        <w:spacing w:after="0" w:line="224" w:lineRule="auto"/>
        <w:rPr>
          <w:sz w:val="20"/>
          <w:szCs w:val="20"/>
          <w:color w:val="auto"/>
        </w:rPr>
      </w:pPr>
      <w:r>
        <w:rPr>
          <w:rFonts w:ascii="Times New Roman" w:cs="Times New Roman" w:eastAsia="Times New Roman" w:hAnsi="Times New Roman"/>
          <w:sz w:val="18"/>
          <w:szCs w:val="18"/>
          <w:color w:val="auto"/>
        </w:rPr>
        <w:t>Subjects will receive up to two injections of rilparencel of 3x10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cells/g-KW</w:t>
      </w:r>
      <w:r>
        <w:rPr>
          <w:rFonts w:ascii="Times New Roman" w:cs="Times New Roman" w:eastAsia="Times New Roman" w:hAnsi="Times New Roman"/>
          <w:sz w:val="24"/>
          <w:szCs w:val="24"/>
          <w:color w:val="auto"/>
          <w:vertAlign w:val="superscript"/>
        </w:rPr>
        <w:t>est</w:t>
      </w:r>
      <w:r>
        <w:rPr>
          <w:rFonts w:ascii="Times New Roman" w:cs="Times New Roman" w:eastAsia="Times New Roman" w:hAnsi="Times New Roman"/>
          <w:sz w:val="18"/>
          <w:szCs w:val="18"/>
          <w:color w:val="auto"/>
        </w:rPr>
        <w:t xml:space="preserve"> per dose. The study will enroll subjects between the ages of 30 and 80 with an eGFR &gt;20 and ≤50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Subjects will be randomized (1:1) before kidney biopsy into two groups. Group 1 will receive the two rilparencel injections three months apart. Group 2 will receive the first rilparencel injection, and a trigger, as described below, must be met to qualify for the second rilparencel injection more than three months after the first dose.</w:t>
      </w:r>
    </w:p>
    <w:p>
      <w:pPr>
        <w:spacing w:after="0" w:line="9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Each of the subjects in Group 1 will receive the first rilparencel injection as soon as the rilparencel product is manufactured and shipped to the clinical site. After three months, subjects will receive a second injection, as appropriate. Subjects in Group 2 will also receive one rilparencel injection as soon as the rilparencel product is manufactured and shipped to the clinical site. For Group 2, a second rilparencel injection will only be administered if a subject meets one or more clinical surrogate marker criteria. The second rilparencel injection will be administered to subjects in Group 2 no less than three months after the first injection, within 30 days (up to four weeks after target date) of meeting the re-dose trigger. The re-dose triggers include</w:t>
      </w:r>
    </w:p>
    <w:p>
      <w:pPr>
        <w:spacing w:after="0" w:line="3" w:lineRule="exact"/>
        <w:rPr>
          <w:sz w:val="20"/>
          <w:szCs w:val="20"/>
          <w:color w:val="auto"/>
        </w:rPr>
      </w:pPr>
    </w:p>
    <w:p>
      <w:pPr>
        <w:ind w:firstLine="8"/>
        <w:spacing w:after="0" w:line="255"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30-day sustained decline in eGFR by at least 20% from baseline and (2) an increase in the baseline UACR of at least 30% greater than 30mg/gram, measured 30 days after the baseline measurement is taken. For all subjects who receive a second injection, the second injection will be administered in the non-biopsied contralateral kidney.</w:t>
      </w:r>
    </w:p>
    <w:p>
      <w:pPr>
        <w:spacing w:after="0" w:line="7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this time, subjects in Group 2 will receive contemporaneous, standard-of-care therapy for CKD while undergoing follow-up evaluations at one, 14 (up to 7 days after target date) and 28 days (up to 7 days after target date) following the first injection, and then at three months (up to 10 days after target date) following the first injection, similar to subjects in Group 1. All subjects will continue with long-term follow-up visits at three month intervals for a period of 18 months following the last injection. In addition, each subject’s baseline rate of kidney decline, based on adequate historical, clinical data obtained 24 months prior to the first rilparencel injection, will serve as a comparator for monitoring the rate of progression of renal insufficiency over time. The primary efficacy endpoint of REGEN-007 is attenuation of the rate of kidney function decline as indicated by the change from pre-injection baseline value in total (acute + chronic) slope of eGFR over 18 months. The primary safety endpoint is treatment-emergent adverse events through 18 months following the last rilparencel injection. REGEN-007 is an unblinded study in which Group 1 patients will receive the same treatment regimen as the patients in our Phase 3 program that are randomized to the active arms.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REGEN-007 may provide insight regarding the clinical benefit that could be observed in our Phase 3 program.</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completed enrollment in REGEN-007 with a total of 53 subjects.</w:t>
      </w:r>
    </w:p>
    <w:p>
      <w:pPr>
        <w:spacing w:after="0" w:line="117"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In Group 1, as of May 7, 2024, patients with at least 12 months follow-up after the second injection of rilparencel (n=13) show stabilized kidney function for 18 months (average eGFR change from baseline to 18 months was -1.3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Importantly, similar results were observed in a subset of these patients (n=10) who met key inclusion criteria currently used in our Phase 3 clinical study program (average eGFR change from baseline to 18 months was -0.6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Additional analyses will be performed as Group 1 data matures.</w:t>
      </w:r>
    </w:p>
    <w:p>
      <w:pPr>
        <w:spacing w:after="0" w:line="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Twenty-five patients received at least one rilparencel injection in Group 2; 12 patients received a second rilparencel injection based on eGFR criteria (n=3) or UACR criteria (n=9). No rilparencel-related serious adverse events were observed across all patients in the study who received at least one rilparencel injection (n=49).</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anticipate reporting full Group 1 data from this study in the first half of 2025.</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REGEN-015</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Multi-dose study REGEN-015 was a planned Phase 1 open-label study of rilparencel in subjects with CKD and type 1 or type 2 diabetes. The intended purpose of this study was to evaluate the safety of supplemental rilparencel injections in participants who have previously received rilparencel treatment. No patient received rilparencel and the study was closed in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REGEN-004</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REGEN-004 is a completed Phase 1, prospective, open-label, single-arm, safety, tolerability, and early efficacy study of rilparencel in subjects with CKD from CAKUT.</w:t>
      </w:r>
    </w:p>
    <w:p>
      <w:pPr>
        <w:spacing w:after="0" w:line="54" w:lineRule="exact"/>
        <w:rPr>
          <w:sz w:val="20"/>
          <w:szCs w:val="20"/>
          <w:color w:val="auto"/>
        </w:rPr>
      </w:pPr>
    </w:p>
    <w:p>
      <w:pPr>
        <w:jc w:val="both"/>
        <w:ind w:right="180" w:firstLine="509"/>
        <w:spacing w:after="0" w:line="263" w:lineRule="auto"/>
        <w:rPr>
          <w:sz w:val="20"/>
          <w:szCs w:val="20"/>
          <w:color w:val="auto"/>
        </w:rPr>
      </w:pPr>
      <w:r>
        <w:rPr>
          <w:rFonts w:ascii="Times New Roman" w:cs="Times New Roman" w:eastAsia="Times New Roman" w:hAnsi="Times New Roman"/>
          <w:sz w:val="18"/>
          <w:szCs w:val="18"/>
          <w:color w:val="auto"/>
        </w:rPr>
        <w:t>The primary objective of this study was to assess the safety and efficacy of up to two rilparencel injections given six months (up to four weeks after target date) apart and delivered into the biopsied kidney using a minimally invasive percutaneous approach that can be delivered under conscious sedation in less than 90 minutes in patients with CKD with eGFRs between 14 and 50 ml/min/1.73m2 due to CAKUT. Five subjects were enrolled in this trial. Subjects received two doses of rilparencel of 3x10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cells/g-KW</w:t>
      </w:r>
      <w:r>
        <w:rPr>
          <w:rFonts w:ascii="Times New Roman" w:cs="Times New Roman" w:eastAsia="Times New Roman" w:hAnsi="Times New Roman"/>
          <w:sz w:val="24"/>
          <w:szCs w:val="24"/>
          <w:color w:val="auto"/>
          <w:vertAlign w:val="superscript"/>
        </w:rPr>
        <w:t>est</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All five subjects received their first injection, and four subjects received both injections. The trial concluded in January 2023 with the last patient, last visit. Small mean decreases from baseline in eGFR were noted at almost all time points during the study.</w:t>
      </w:r>
    </w:p>
    <w:p>
      <w:pPr>
        <w:spacing w:after="0" w:line="61" w:lineRule="exact"/>
        <w:rPr>
          <w:sz w:val="20"/>
          <w:szCs w:val="20"/>
          <w:color w:val="auto"/>
        </w:rPr>
      </w:pPr>
    </w:p>
    <w:p>
      <w:pPr>
        <w:ind w:right="40" w:firstLine="509"/>
        <w:spacing w:after="0" w:line="237" w:lineRule="auto"/>
        <w:rPr>
          <w:sz w:val="20"/>
          <w:szCs w:val="20"/>
          <w:color w:val="auto"/>
        </w:rPr>
      </w:pPr>
      <w:r>
        <w:rPr>
          <w:rFonts w:ascii="Times New Roman" w:cs="Times New Roman" w:eastAsia="Times New Roman" w:hAnsi="Times New Roman"/>
          <w:sz w:val="18"/>
          <w:szCs w:val="18"/>
          <w:color w:val="auto"/>
        </w:rPr>
        <w:t>Results show that the estimated rate (standard error) of eGFR decline was -0.4 (2.28) mL/min/1.73 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per year during the Pre-Injection Period, -2.1 (1.35) mL/min/1.73 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per year during the Post-Second Injection Period, and -1.4 (0.93) mL/min/1.73 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per year during the Post-Injection Period.</w:t>
      </w:r>
    </w:p>
    <w:p>
      <w:pPr>
        <w:spacing w:after="0" w:line="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Final results of this study were reported to the FDA in December 2023. We are not pursuing this indication further at this time.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3 Clinical Development: REGEN-006 (PROACT 1) and REGEN-016 (PROACT 2):</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applied for Regenerative Medicine Advanced Therapy (“RMAT”) designation for rilparencel, which was granted by the FDA on October 28, 2021. As contemplated by the RMAT designation and as directed by the FDA, we requested a comprehensive, multidisciplinary Type B meeting with the FDA to review the status of preclinical and clinical development and manufacturing of rilparencel and to discuss the planned clinical program intended to support approval of the product candidate. The FDA provided detailed written responses to our questions included in the meeting request, and the Type B meeting was held in March 2022. As a result of that meeting, we made modifications to the Phase 3 trial designs and endpoints, including the following:</w:t>
      </w:r>
    </w:p>
    <w:p>
      <w:pPr>
        <w:spacing w:after="0" w:line="187" w:lineRule="exact"/>
        <w:rPr>
          <w:sz w:val="20"/>
          <w:szCs w:val="20"/>
          <w:color w:val="auto"/>
        </w:rPr>
      </w:pPr>
    </w:p>
    <w:p>
      <w:pPr>
        <w:ind w:left="1320" w:hanging="472"/>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planned sample size from 500 to 600 subjects in both REGEN-006 and REGEN-016;</w:t>
      </w:r>
    </w:p>
    <w:p>
      <w:pPr>
        <w:spacing w:after="0" w:line="225" w:lineRule="exact"/>
        <w:rPr>
          <w:rFonts w:ascii="Times New Roman" w:cs="Times New Roman" w:eastAsia="Times New Roman" w:hAnsi="Times New Roman"/>
          <w:sz w:val="18"/>
          <w:szCs w:val="18"/>
          <w:color w:val="auto"/>
        </w:rPr>
      </w:pPr>
    </w:p>
    <w:p>
      <w:pPr>
        <w:ind w:left="1320" w:right="280" w:hanging="472"/>
        <w:spacing w:after="0" w:line="282" w:lineRule="auto"/>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removed the increase in UACR of at least 30% and of at least 30 mg/g, using the random urine microalbumin/urine creatinine ratio sustained for 90 days, from the primary composite endpoint for both REGEN-006 and REGEN-016;</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sham control arm and single blind component to the design of REGEN-016 and composite time-to-event composed of:</w:t>
      </w:r>
    </w:p>
    <w:p>
      <w:pPr>
        <w:spacing w:after="0" w:line="225" w:lineRule="exact"/>
        <w:rPr>
          <w:rFonts w:ascii="Times New Roman" w:cs="Times New Roman" w:eastAsia="Times New Roman" w:hAnsi="Times New Roman"/>
          <w:sz w:val="18"/>
          <w:szCs w:val="18"/>
          <w:color w:val="auto"/>
        </w:rPr>
      </w:pPr>
    </w:p>
    <w:p>
      <w:pPr>
        <w:ind w:left="1980" w:hanging="457"/>
        <w:spacing w:after="0"/>
        <w:tabs>
          <w:tab w:leader="none" w:pos="1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40% reduction in eGFR, using the 2009 CKD-EPI serum creatinine equation, sustained for 30 days;</w:t>
      </w:r>
    </w:p>
    <w:p>
      <w:pPr>
        <w:spacing w:after="0" w:line="225" w:lineRule="exact"/>
        <w:rPr>
          <w:rFonts w:ascii="Times New Roman" w:cs="Times New Roman" w:eastAsia="Times New Roman" w:hAnsi="Times New Roman"/>
          <w:sz w:val="18"/>
          <w:szCs w:val="18"/>
          <w:color w:val="auto"/>
        </w:rPr>
      </w:pPr>
    </w:p>
    <w:p>
      <w:pPr>
        <w:ind w:left="1980" w:hanging="457"/>
        <w:spacing w:after="0" w:line="282" w:lineRule="auto"/>
        <w:tabs>
          <w:tab w:leader="none" w:pos="1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eGFR &lt;15 mL/min/1.73m² using the 2009 CKD-EPI serum creatinine equation, sustained for 30 days and/or chronic dialysis, and/or renal transplant; or</w:t>
      </w:r>
    </w:p>
    <w:p>
      <w:pPr>
        <w:spacing w:after="0" w:line="161" w:lineRule="exact"/>
        <w:rPr>
          <w:rFonts w:ascii="Times New Roman" w:cs="Times New Roman" w:eastAsia="Times New Roman" w:hAnsi="Times New Roman"/>
          <w:sz w:val="18"/>
          <w:szCs w:val="18"/>
          <w:color w:val="auto"/>
        </w:rPr>
      </w:pPr>
    </w:p>
    <w:p>
      <w:pPr>
        <w:ind w:left="1980" w:hanging="457"/>
        <w:spacing w:after="0"/>
        <w:tabs>
          <w:tab w:leader="none" w:pos="1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renal or cardiovascular death.</w:t>
      </w:r>
    </w:p>
    <w:p>
      <w:pPr>
        <w:spacing w:after="0" w:line="11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In 2024, we completed a comprehensive internal and external review to determine the optimal path to bring rilparencel to patients in the U.S. with type 2 diabetes and advanced CKD – a market where there is high unmet clinical and economic need. An important conclusion of this review was that under the provisions of the RMAT designation, we believe rilparencel is eligible for initial FDA approval under an expedited approval pathway based upon successful completion of the ongoing Phase 3 REGEN-006 (PROACT 1) trial, and that the Phase 3 REGEN-016 (PROACT 2) trial is not required for initial U.S. registration. Thus, we discontinued REGEN-016 (PROACT 2), which was focused on enrollment outside the U.S. Subsequently, we had a Type B meeting with the FDA to discuss updates to rilparencel’s registrational trial strategy. The FDA confirmed that PROACT 1 could be sufficient to support a potential Biologics License Application (“BLA”) submission. Additionally, the FDA confirmed that the accelerated approval pathway is available to rilparencel and that the Company could consider eGFR slope as a surrogate endpoint for accelerated approval. We will continue to engage with the FDA, under our RMAT designation, to further define the details supporting this accelerated pathway. We will continue to advance the U.S. clinical development program with the benefit of enhanced clarity as to the FDA’s expectations and requirements for a registrational program, including the design of the trials needed for approval, manufacturing assays, and comparability studies, as set forth below.</w:t>
      </w:r>
    </w:p>
    <w:p>
      <w:pPr>
        <w:spacing w:after="0" w:line="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305" w:right="5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REGEN-006/PROACT 1 trial:</w:t>
      </w:r>
    </w:p>
    <w:p>
      <w:pPr>
        <w:spacing w:after="0" w:line="121" w:lineRule="exact"/>
        <w:rPr>
          <w:sz w:val="20"/>
          <w:szCs w:val="20"/>
          <w:color w:val="auto"/>
        </w:rPr>
      </w:pPr>
    </w:p>
    <w:p>
      <w:pPr>
        <w:ind w:right="60" w:firstLine="509"/>
        <w:spacing w:after="0" w:line="239" w:lineRule="auto"/>
        <w:rPr>
          <w:sz w:val="20"/>
          <w:szCs w:val="20"/>
          <w:color w:val="auto"/>
        </w:rPr>
      </w:pPr>
      <w:r>
        <w:rPr>
          <w:rFonts w:ascii="Times New Roman" w:cs="Times New Roman" w:eastAsia="Times New Roman" w:hAnsi="Times New Roman"/>
          <w:sz w:val="18"/>
          <w:szCs w:val="18"/>
          <w:color w:val="auto"/>
        </w:rPr>
        <w:t>REGEN-006 (PROACT 1) is an ongoing Phase 3, randomized, blinded, bi-lateral kidney dose, sham control arm, controlled efficacy study of rilparencel in subjects with CKD and type 2 diabetes. The related study protocol has been amended to focus on a subset of patients with Stage 4 CKD (eGFR between 20 and 30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and late Stage 3b CKD (eGFR between 30 and 35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with accompanying albuminuria UACR between 300 and 5000 mg/g). This study will be conducted in clinical centers in the United States, Mexico, and Taiwan.</w:t>
      </w:r>
    </w:p>
    <w:p>
      <w:pPr>
        <w:spacing w:after="0" w:line="92" w:lineRule="exact"/>
        <w:rPr>
          <w:sz w:val="20"/>
          <w:szCs w:val="20"/>
          <w:color w:val="auto"/>
        </w:rPr>
      </w:pPr>
    </w:p>
    <w:p>
      <w:pPr>
        <w:ind w:right="280" w:firstLine="509"/>
        <w:spacing w:after="0" w:line="267" w:lineRule="auto"/>
        <w:rPr>
          <w:sz w:val="20"/>
          <w:szCs w:val="20"/>
          <w:color w:val="auto"/>
        </w:rPr>
      </w:pPr>
      <w:r>
        <w:rPr>
          <w:rFonts w:ascii="Times New Roman" w:cs="Times New Roman" w:eastAsia="Times New Roman" w:hAnsi="Times New Roman"/>
          <w:sz w:val="18"/>
          <w:szCs w:val="18"/>
          <w:color w:val="auto"/>
        </w:rPr>
        <w:t>The primary objective of this study is to assess the efficacy of up to two rilparencel injections given three months apart and delivered into biopsied and non-biopsied contralateral kidneys using a minimally invasive percutaneous approach with a targeted enrollment of approximately 685 patients. Subjects in the treatment group will receive two injections of rilparencel of 3x10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cells/g-KW</w:t>
      </w:r>
      <w:r>
        <w:rPr>
          <w:rFonts w:ascii="Times New Roman" w:cs="Times New Roman" w:eastAsia="Times New Roman" w:hAnsi="Times New Roman"/>
          <w:sz w:val="24"/>
          <w:szCs w:val="24"/>
          <w:color w:val="auto"/>
          <w:vertAlign w:val="superscript"/>
        </w:rPr>
        <w:t>est</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primary composite endpoint is the time from first injection to the earliest of:</w:t>
      </w:r>
    </w:p>
    <w:p>
      <w:pPr>
        <w:spacing w:after="0" w:line="225" w:lineRule="exact"/>
        <w:rPr>
          <w:sz w:val="20"/>
          <w:szCs w:val="20"/>
          <w:color w:val="auto"/>
        </w:rPr>
      </w:pPr>
    </w:p>
    <w:p>
      <w:pPr>
        <w:ind w:left="1320" w:hanging="472"/>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40% reduction in eGFR, using the 2009 CKD-EPI serum creatinine equation, sustained for 30 days;</w:t>
      </w:r>
    </w:p>
    <w:p>
      <w:pPr>
        <w:spacing w:after="0" w:line="225" w:lineRule="exact"/>
        <w:rPr>
          <w:rFonts w:ascii="Times New Roman" w:cs="Times New Roman" w:eastAsia="Times New Roman" w:hAnsi="Times New Roman"/>
          <w:sz w:val="18"/>
          <w:szCs w:val="18"/>
          <w:color w:val="auto"/>
        </w:rPr>
      </w:pPr>
    </w:p>
    <w:p>
      <w:pPr>
        <w:ind w:left="1320" w:right="80" w:hanging="472"/>
        <w:spacing w:after="0" w:line="282" w:lineRule="auto"/>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eGFR &lt;15 mL/min/1.73m² using the 2009 CKD-EPI serum creatinine equation, sustained for 30 days and/or chronic dialysis, and/or renal transplant; or</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renal or cardiovascular death.</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Subjects will be randomized (1:1) to the treatment group and the “masked” sham control group prior to kidney biopsy.</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Each of the subjects in the treatment group will receive the first rilparencel injection within about 14 weeks following kidney biopsy. After three months it is intended that a second dose be given into the contralateral kidney. In contrast, subjects in the control group will receive two sham injections, the first of which will be administered 14 weeks following sham biopsy, and the second of which will be administered three months after the first sham injection. All subjects will continue in the study until the trial end date is announced and an end of study visit is completed.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Discontinuation of REGEN-016/PROACT 2:</w:t>
      </w:r>
    </w:p>
    <w:p>
      <w:pPr>
        <w:spacing w:after="0" w:line="121" w:lineRule="exact"/>
        <w:rPr>
          <w:sz w:val="20"/>
          <w:szCs w:val="20"/>
          <w:color w:val="auto"/>
        </w:rPr>
      </w:pPr>
    </w:p>
    <w:p>
      <w:pPr>
        <w:ind w:right="200" w:firstLine="509"/>
        <w:spacing w:after="0" w:line="239" w:lineRule="auto"/>
        <w:rPr>
          <w:sz w:val="20"/>
          <w:szCs w:val="20"/>
          <w:color w:val="auto"/>
        </w:rPr>
      </w:pPr>
      <w:r>
        <w:rPr>
          <w:rFonts w:ascii="Times New Roman" w:cs="Times New Roman" w:eastAsia="Times New Roman" w:hAnsi="Times New Roman"/>
          <w:sz w:val="18"/>
          <w:szCs w:val="18"/>
          <w:color w:val="auto"/>
        </w:rPr>
        <w:t>REGEN-016 (PROACT 2) was a planned Phase 3, randomized, blinded, sham control arm, bi-lateral kidney dose, controlled efficacy study of rilparencel in subjects with Stages 3b and 4 CKD and type 2 diabetes (specifically eGFR between 20 ml and 44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with moderate to severe albuminuria (UACR between 300 and 5,000 mg/g)). REGEN-016 was discontinued in 2024 following a comprehensive internal and external review of our Phase 3 program. No patients received rilparencel in this study.</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REGEN-008</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REGEN-008 is an ongoing, prospective, open-label, observational, long term follow up master protocol study of rilparencel in subjects with diabetes and CKD who were previously enrolled and treated with rilparencel. There are two sub-studies under the REGEN-008 master protocol:</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REGEN-008 sub-study 1 is a multi-center, prospective, non-interventional, long-term observational extension study of participants who were enrolled and dosed in previous interventional clinical studies with the prior, fresh, rilparencel formulation. Participants will be monitored for up to five years.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REGEN-008 sub-study 2 is intended to follow study participants previously treated with the cryopreserved formulation of rilparencel.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will be followed for up to an additional five years for this study from completion of previous protocol End of Study Visit.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including developers of tubular and glomerular cell drug modulators, e.g., SGLT2 inhibitors, antifibrosis medications, e.g., Mineralocorticoid Receptor Antagonists (“MRAs”), glucose-dependent insulin release stimulators, e.g., GLP-1 agonists, induced pluripotent cells, other autologous mesenchymal stem cells and mechanical renal assist devices such as implantable and wearable renal dialysis machines, and advances in peritoneal dialysis and home dialysis. Cell-based clinical trials by other companies are underway globally with umbilical, adipose and bone marrow derived mesenchymal stem cells for CKD. Early-phase human induced pluripotent stem cell therapies for kidney diseases are ongoing in Japan.</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 therapies and new therapies that may become available in the future. We believe that the key competitive factors affecting the success of any of our</w:t>
      </w:r>
    </w:p>
    <w:p>
      <w:pPr>
        <w:jc w:val="center"/>
        <w:ind w:right="-2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05" w:right="619" w:bottom="1440" w:gutter="0" w:footer="0" w:header="0"/>
        </w:sectPr>
      </w:pPr>
    </w:p>
    <w:bookmarkStart w:id="17" w:name="page18"/>
    <w:bookmarkEnd w:id="17"/>
    <w:p>
      <w:pPr>
        <w:ind w:right="100"/>
        <w:spacing w:after="0" w:line="266" w:lineRule="auto"/>
        <w:rPr>
          <w:sz w:val="20"/>
          <w:szCs w:val="20"/>
          <w:color w:val="auto"/>
        </w:rPr>
      </w:pPr>
      <w:r>
        <w:rPr>
          <w:rFonts w:ascii="Times New Roman" w:cs="Times New Roman" w:eastAsia="Times New Roman" w:hAnsi="Times New Roman"/>
          <w:sz w:val="18"/>
          <w:szCs w:val="18"/>
          <w:color w:val="auto"/>
        </w:rPr>
        <w:t>product candidates will include efficacy, safety profile, dosing, cost, effectiveness of promotional support and intellectual property protection. With respect specifically to rilparencel, we expect the key competitive factors affecting its success, if approved, will include the intended patient population, the relative convenience of dosing and administration, and efficacy.</w:t>
      </w:r>
    </w:p>
    <w:p>
      <w:pPr>
        <w:spacing w:after="0" w:line="68"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Many other companies working on medications for controlling CKD, either alone or with their collaboration partners, have significantly greater financial resources and expertise in research and development, preclinical testing, clinical trials, manufacturing, and marketing than we do. We believe that our principal competitors include developers of SGLT2 inhibitors, including canagliflozin (marketed as Invokana® by companies including Janssen Pharmaceuticals, Inc.), dapagliflozin (marketed under the brand names Farxiga® and Forxiga® by companies including AstraZeneca plc and Bristol-Myers Squibb Company), and empagliflozin (marketed as Jardiance® by companies including Boehringer Ingelheim and Eli Lilly and Company), and MRAs, which are small-molecule therapies recently approved to lower risks of CKD progression, notably finerenone (marketed as Kerendia® by companies including Bayer AG). Most recently, glucagon-like peptide 1 (GLP-1) agonists, originally approved for type 2 diabetes and obesity, have been associated with lowering all-cause mortality among patients with type 2 diabetes, advanced-stage CKD and ESRD with strong support from the industry associations, including semaglutide (marketed under the brand names Ozempic®, Rybelsus® and Wegovy® by Novo Nordisk) and tirzepatide (marketed under the brand name Mounjaro® by Eli Lilly and Company). In January 2025, the FDA approved Ozempic® to reduce the risk of kidney disease worsening, kidney failure, and death from cardiovascular disease in adults with type 2 diabetes and CKD. Future collaborations, mergers and acquisitions may result in further resource concentration among a smaller number of competitors.</w:t>
      </w:r>
    </w:p>
    <w:p>
      <w:pPr>
        <w:spacing w:after="0" w:line="8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These competitors may also vie for a similar pool of qualified scientific and management talent, sites and patient populations for clinical trials, as well as for technologies complementary to, or necessary for, our programs.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and Manufacturing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over the last 20 years we have developed our manufacturing technology for chemistry, manufacturing, and controls (“CMC”). In doing so, we have established a considerable intellectual property estate, combined with extensive manufacturing know-how, to enable us to manufacture rilparencel with consistent quality.</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With support from high level manufacturing and regulatory expertise, our internal manufacturing capabilities have enabled us to progress rapidly through our clinical trials. We believe that our current manufacturing capacities enable us to provide sufficient quantities of clinical trial material to supply our clinical trials. As we continue to develop our product candidates, we may need to expand our manufacturing capacities. The manufacturing facilities located in Winston-Salem, North Carolina and the quality systems are intended to be compliant with global quality standards. It typically takes approximately 12 weeks to produce the clinical rilparencel products.</w:t>
      </w:r>
    </w:p>
    <w:p>
      <w:pPr>
        <w:spacing w:after="0" w:line="75" w:lineRule="exact"/>
        <w:rPr>
          <w:sz w:val="20"/>
          <w:szCs w:val="20"/>
          <w:color w:val="auto"/>
        </w:rPr>
      </w:pPr>
    </w:p>
    <w:p>
      <w:pPr>
        <w:ind w:right="60" w:firstLine="509"/>
        <w:spacing w:after="0" w:line="273" w:lineRule="auto"/>
        <w:rPr>
          <w:sz w:val="20"/>
          <w:szCs w:val="20"/>
          <w:color w:val="auto"/>
        </w:rPr>
      </w:pPr>
      <w:r>
        <w:rPr>
          <w:rFonts w:ascii="Times New Roman" w:cs="Times New Roman" w:eastAsia="Times New Roman" w:hAnsi="Times New Roman"/>
          <w:sz w:val="17"/>
          <w:szCs w:val="17"/>
          <w:color w:val="auto"/>
        </w:rPr>
        <w:t>An audit in 2023 by the Company’s contracted Qualified Person (QP) to evaluate our readiness for release and distribution of rilparencel in the EU identified certain deficiencies in the documentation of the quality management systems to be addressed prior to release and distribution of product for EU clinical sites. Manufacturing was subsequently paused while we optimized our capabilities to meet EU and global standards for our Phase 3 program. Of note, no safety events necessitated this pause. After undergoing a thorough remediation process in the first half of 2024, we resumed manufacturing for U.S. and non-European clinical study sites in June 2024, and in July 2024, we received the Qualified Person (QP) Declaration of Equivalence to European Union Good Manufacturing Practice (GMP) standards. The work done during the remediation has positioned the Company well to continue manufacturing under global standards for our Phase 3 program and we are well prepared for a transition to commercial manufacturing.</w:t>
      </w:r>
    </w:p>
    <w:p>
      <w:pPr>
        <w:spacing w:after="0" w:line="6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bioprocesses have been reviewed by the FDA and EMA and validation activities are ongoing in anticipation of being commercial-ready for the potential launch of rilparencel. We plan to expand our manufacturing capacity, as required, to meet the increase in demand.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commercial strategy focuses on scaling up to meet the projected market for rilparencel if we obtain the necessary regulatory approvals.</w:t>
      </w:r>
    </w:p>
    <w:p>
      <w:pPr>
        <w:spacing w:after="0" w:line="11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intend to improve bioprocess development to further reduce manufacturing costs of the commercial rilparencel product, assuming receipt of necessary regulatory approvals. Culture media represents the highest cost in rilparencel processing, and we are exploring reduced culture media usage via bioprocess improvements. Further, similar to our Phase 3 study, our final commercial rilparencel product is planned to be a cryopreserved formulation, which we expect will reduce manufacturing costs compared to our prior fresh rilparencel formulation. We expect to leverage bulk purchasing to actively negotiate pricing of materials to further drive cost reductions. However, there can be no assurance that the manufacturing costs for our Phase 3 trials will actually be lower</w:t>
      </w:r>
    </w:p>
    <w:p>
      <w:pPr>
        <w:spacing w:after="0" w:line="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93" w:right="619" w:bottom="1440" w:gutter="0" w:footer="0" w:header="0"/>
        </w:sectPr>
      </w:pPr>
    </w:p>
    <w:bookmarkStart w:id="18" w:name="page19"/>
    <w:bookmarkEnd w:id="18"/>
    <w:p>
      <w:pPr>
        <w:ind w:right="120"/>
        <w:spacing w:after="0" w:line="266" w:lineRule="auto"/>
        <w:rPr>
          <w:sz w:val="20"/>
          <w:szCs w:val="20"/>
          <w:color w:val="auto"/>
        </w:rPr>
      </w:pPr>
      <w:r>
        <w:rPr>
          <w:rFonts w:ascii="Times New Roman" w:cs="Times New Roman" w:eastAsia="Times New Roman" w:hAnsi="Times New Roman"/>
          <w:sz w:val="18"/>
          <w:szCs w:val="18"/>
          <w:color w:val="auto"/>
        </w:rPr>
        <w:t>when we manufacture rilparencel at commercial scale. A number of factors may contribute to an inability to achieve these cost reductions, including cost overruns or inefficiencies in the supply chain and any failure to improve the formulation or bioprocessing of rilparencel in a manner that results in lower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0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pursuing and obtaining patent protection in the United States and in jurisdictions outside of the United States related to our proprietary technology, inventions, improvements, and product candidates that are important to the development and implementation of our business. For example, we have or are pursuing patents covering the composition of matter for each of our product candidates and we generally pursue patent protection covering methods-of-use for each clinical trial. We may also rely on trade secrets, know-how, continuing technological innovation and potential in-licensing opportunities to develop and maintain our proprietary position. Additionally, we expect to benefit, where appropriate, from statutory frameworks in the United States, Europe and other countries that provide a period of clinical data exclusivity to compensate for the time required for regulatory approval of our products.</w:t>
      </w:r>
    </w:p>
    <w:p>
      <w:pPr>
        <w:spacing w:after="0" w:line="175"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We continually assess and refine our intellectual property strategy as we develop new technologies and product candidates. We plan to file additional patent applications based on our intellectual property strategies where appropriate, including where we seek to adapt to competition or to improve business opportunities. Further, we plan to file patent applications, as we consider appropriate under the circumstances, to protect new technologies that we develop.</w:t>
      </w:r>
    </w:p>
    <w:p>
      <w:pPr>
        <w:spacing w:after="0" w:line="15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 cover our proprietary technologies, proprietary cell-based rilparencel product and related methods, such as methods of use, we have filed patent applications representing 22 patent families. As of December 31, 2024, our patent estate, which is solely owned, included 398 total issued patents or pending patent applications with 11 issued U.S. patents, 13 pending U.S. non-provisional patent applications, seven pending U.S. provisional patent applications, five pending Patent Cooperation Treaty (PCT) applications, 228 issued foreign patents and 134 pending foreign patent applications in various foreign jurisdictions.</w:t>
      </w:r>
    </w:p>
    <w:p>
      <w:pPr>
        <w:spacing w:after="0" w:line="15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Specifically, our patent family with claims directed to cells formulated in rilparencel, implantable constructs, and methods of using the same to, for example, improve kidney function or treat kidney disease, includes 36 issued patents and eight pending patent applications. Patents in this family have been issued in nine jurisdictions, including the United States (three issued patents), Europe (two issued patents, each separately validated in seven countries), China (two issued patents), Japan, and South Korea. Issued patents and any further patents that may be issued from this family’s eight pending applications are expected to expire in 2029 absent any patent term adjustments or extensions.</w:t>
      </w:r>
    </w:p>
    <w:p>
      <w:pPr>
        <w:spacing w:after="0" w:line="17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also own two patent families directed to our rilparencel formulations and methods of preparing the formulations. Across these families, we have 28 issued patents in multiple jurisdictions, including the United States, Europe (validated in 11 countries), China, Japan, South Korea, and Canada. We also have three patent applications that are pending in jurisdictions, including Europe, Canada and Australia. Patents across these two patent families, including any patents that may be issued from the pending applications, are expected to expire between 2031 and 2038, depending upon their respective filing dates and absent any patent term adjustments or extensions.</w:t>
      </w:r>
    </w:p>
    <w:p>
      <w:pPr>
        <w:spacing w:after="0" w:line="15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Additionally, we own two patent families with claims directed to quality control methods for ensuring that renal cells for formulation in rilparencel, prepared by our proprietary methods, have phenotypic and functional profiles indicative of therapeutic activity. Within the first patent family, we have 66 issued patents in various jurisdictions, including the United States (two issued patents), Europe (three issued patents, a first of which has been validated in 21 countries, a second of which has been validated in 20 countries, and a third of which is due for validation in 2025), China (two issued patents), Japan (two issued patents), South Korea (four issued patents), Hong Kong (three issued patents), Australia (two issued patents), and New Zealand (two issued patents). We also have ten patent applications in this family that are pending in multiple jurisdictions, including the United States, Europe, Australia, China, and South Korea. Issued patents, and any further patents that may be issued from this family’s ten pending applications, are expected to expire in 2033 absent any patent term adjustments or extensions. Within our second patent family we have 18 patent applications pending in multiple jurisdictions including the United States, Europe, Japan, China, and Canada. Any patents that issue from these applications are expected to expire in 2041 absent any patent term adjustments or extensions.</w:t>
      </w:r>
    </w:p>
    <w:p>
      <w:pPr>
        <w:spacing w:after="0" w:line="1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further own three patent families directed to methods of improving kidney function and/or in treating kidney disease, e.g., kidney disease with diabetes or kidney disease resulting from a congenital anomaly. Across these families, we have six issued patents, including one U.S. patent and 37 pending patent applications filed in 16 jurisdictions, including the United States, Europe, Hong Kong, China, Korea, Japan, Australia, Brazil, Mexico, Israel, Canada, and Mexico. Our issued U.S. patents are expected to</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19" w:name="page20"/>
    <w:bookmarkEnd w:id="19"/>
    <w:p>
      <w:pPr>
        <w:ind w:right="100"/>
        <w:spacing w:after="0" w:line="282" w:lineRule="auto"/>
        <w:rPr>
          <w:sz w:val="20"/>
          <w:szCs w:val="20"/>
          <w:color w:val="auto"/>
        </w:rPr>
      </w:pPr>
      <w:r>
        <w:rPr>
          <w:rFonts w:ascii="Times New Roman" w:cs="Times New Roman" w:eastAsia="Times New Roman" w:hAnsi="Times New Roman"/>
          <w:sz w:val="18"/>
          <w:szCs w:val="18"/>
          <w:color w:val="auto"/>
        </w:rPr>
        <w:t>expire in 2037 absent any patent term adjustments or extensions. Patents across all three patent families, if issued, are expected to expire between 2036 and 2042, depending upon their respective filing dates and absent any patent term adjustments or extensions.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we plan to file additional applications on aspects of our innovations that may have patent terms that extend beyond these dates.</w:t>
      </w:r>
    </w:p>
    <w:p>
      <w:pPr>
        <w:spacing w:after="0" w:line="198"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laws of the countries in which they are obtained. In the countries in which we currently file, the patent term is 20 years from the earliest date of filing of a non-provisional patent application, which serves as a priority application. However, the term of a U.S. patent may be extended to compensate for the time required to obtain regulatory approval to sell a medicine (a patent term extension) or by delays encountered during patent prosecution that are caused by the United States Patent and Trademark Office (the “USPTO”) (referred to as patent term adjustment). For example, the Hatch-Waxman Act permits a patent term extension for FDA-approved medicines of up to five years beyond the expiration of the patent. The length of the patent term extension is related to the length of time the medicine is under regulatory review and diligence during the review process. Patent term extensions cannot extend the remaining term of a patent beyond a total of 14 years from the date of product approval and only one patent covering an approved medicine or its method of use may be extended. A similar kind of patent extension, referred to as a Supplementary Protection Certificate, is available in Europe. Legal frameworks are also available in certain other jurisdictions to extend the term of a patent. We currently intend to seek patent term extensions on any of our issued patents in any jurisdiction where we have a qualifying patent and the extension is available; however there is no guarantee that the applicable regulatory authorities, including the FDA in the United States, will agree with our assessment of whether such extensions should be granted, and even if granted, the length of such extensions. Further, even if our patent is extended, the patent, including the extended portion of the patent, may be held invalid or unenforceable by a court of final jurisdiction in the United States or a foreign country.</w:t>
      </w:r>
    </w:p>
    <w:p>
      <w:pPr>
        <w:spacing w:after="0" w:line="1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with other biotechnology and pharmaceutical companies, our ability to obtain and maintain a proprietary position on our product candidates and technologies will depend on our success in obtaining effective patent claims on these pending patents and enforcing those claims if granted. However, our pending patent applications, and any patent applications that we may in the future file or license from third parties, may not result in the issuance of patents. We also cannot predict the breadth of claims that may be allowed or enforced in our patents. Furthermore, our competitors may be able to independently develop and commercialize products with similar mechanisms of action and duplicate our methods of treatments or strategies without infringing our patents. Because of the extensive time required for clinical development and regulatory review of a therapeutic product we may develop, it is possible that, before any of our products can be commercialized, any related patent may expire or remain in force for only a short period following commercialization, thereby reducing any advantage of any such patent. Moreover, even our issued patents do not guarantee us the right to practice our technology in relation to the commercialization of our clinical candidates. The area of patent and other intellectual property rights in pharmaceuticals is an evolving one with many risks and uncertainties, and third parties may have blocking patents that could be used to prevent us from commercializing our clinical candidates.</w:t>
      </w:r>
    </w:p>
    <w:p>
      <w:pPr>
        <w:spacing w:after="0" w:line="16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Our ability to obtain and maintain our proprietary position for our product candidates and technology will depend on our success in enforcing the claims that have been granted or may grant. However, any of our patents, including patents that we may rely on to protect our market for approved therapeutics, may be held invalid or unenforceable by a court of final jurisdiction. Alternatively, we may decide that it is in our interest to settle a litigation in a manner that affects the term or enforceability of our patent. Changes in either the patent laws or in interpretations of patent laws in the United States and other countries may diminish our ability to protect our inventions and enforce our intellectual property rights. Accordingly, we cannot predict the breadth or enforceability of claims that have been or may be granted in our patents or in third-party patents.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In addition to patents, we may rely upon unpatented trade secrets and know-how and continuing technological innovation to develop and maintain our competitive position. We seek to protect our proprietary information, in part, using confidentiality agreements with our commercial partners, collaborators, employees, and consultants, and invention assignment agreements with our employees.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74" w:right="5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biological products, including cell-based regenerative therapy products, are subject to regulation under the Federal Food, Drug, and Cosmetic Act (the “FD&amp;C Act”), the Public Health Service Act (the “PHS Act”) and other federal, state, local and foreign statutes and regulations. Both the FD&amp;C Act and the PHS Act and their corresponding regulations govern, among other things, the research, development, clinical trial, testing, manufacturing, safety, efficacy, labeling, packaging, storage, record keeping, distribution, reporting, advertising and other promotional practices involving biological products. Each clinical trial protocol for a cell-based therapy product must be reviewed by the FDA. FDA approval must be obtained before the marketing of any biological product. The process of obtaining regulatory approvals and the subsequent compliance with appropriate federal, state, local and foreign statutes and regulations requires the expenditure of substantial time and financial resources and we may not be able to obtain the required regulatory approvals.</w:t>
      </w:r>
    </w:p>
    <w:p>
      <w:pPr>
        <w:spacing w:after="0" w:line="84"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Ethical, social and legal concerns about gene or cell-based therapies, genetic testing and genetic research could result in additional laws and regulations restricting or prohibiting the processes we may use. Federal and state legislatures, agencies, congressional committees and foreign governments have expressed interest in further regulating biotechnology. More restrictive laws and regulations or interpretations of existing laws or regulations, or claims that our product candidates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biological products development process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a biological product may be marketed in the United States generally involves the following:</w:t>
      </w:r>
    </w:p>
    <w:p>
      <w:pPr>
        <w:spacing w:after="0" w:line="225" w:lineRule="exact"/>
        <w:rPr>
          <w:sz w:val="20"/>
          <w:szCs w:val="20"/>
          <w:color w:val="auto"/>
        </w:rPr>
      </w:pPr>
    </w:p>
    <w:p>
      <w:pPr>
        <w:ind w:left="1320" w:right="580" w:hanging="472"/>
        <w:spacing w:after="0" w:line="282" w:lineRule="auto"/>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according to Good Laboratory Practices (“GLPs”), and applicable requirements for the humane use of laboratory animals or other applicable regulations;</w:t>
      </w:r>
    </w:p>
    <w:p>
      <w:pPr>
        <w:spacing w:after="0" w:line="161" w:lineRule="exact"/>
        <w:rPr>
          <w:rFonts w:ascii="Times New Roman" w:cs="Times New Roman" w:eastAsia="Times New Roman" w:hAnsi="Times New Roman"/>
          <w:sz w:val="18"/>
          <w:szCs w:val="18"/>
          <w:color w:val="auto"/>
        </w:rPr>
      </w:pPr>
    </w:p>
    <w:p>
      <w:pPr>
        <w:ind w:left="1320" w:right="400" w:hanging="472"/>
        <w:spacing w:after="0" w:line="282" w:lineRule="auto"/>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application for an investigational new drug (“IND”) application which must become effective before human clinical trials may begin;</w:t>
      </w:r>
    </w:p>
    <w:p>
      <w:pPr>
        <w:spacing w:after="0" w:line="161"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protocol and related documentation by an investigational review board (“IRB”) or ethics committee at each clinical trial site before each clinical trial may be initiated;</w:t>
      </w:r>
    </w:p>
    <w:p>
      <w:pPr>
        <w:spacing w:after="0" w:line="161" w:lineRule="exact"/>
        <w:rPr>
          <w:rFonts w:ascii="Times New Roman" w:cs="Times New Roman" w:eastAsia="Times New Roman" w:hAnsi="Times New Roman"/>
          <w:sz w:val="18"/>
          <w:szCs w:val="18"/>
          <w:color w:val="auto"/>
        </w:rPr>
      </w:pPr>
    </w:p>
    <w:p>
      <w:pPr>
        <w:ind w:left="1320" w:right="120" w:hanging="472"/>
        <w:spacing w:after="0" w:line="266" w:lineRule="auto"/>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applicable IND regulations, good clinical practices, or Good Clinical Practices (“GCPs”) and other clinical-trial related regulation, to evaluate the safety and efficacy of the investigational biological product for each proposed indication;</w:t>
      </w:r>
    </w:p>
    <w:p>
      <w:pPr>
        <w:spacing w:after="0" w:line="175" w:lineRule="exact"/>
        <w:rPr>
          <w:rFonts w:ascii="Times New Roman" w:cs="Times New Roman" w:eastAsia="Times New Roman" w:hAnsi="Times New Roman"/>
          <w:sz w:val="18"/>
          <w:szCs w:val="18"/>
          <w:color w:val="auto"/>
        </w:rPr>
      </w:pPr>
    </w:p>
    <w:p>
      <w:pPr>
        <w:ind w:left="1320" w:right="180" w:hanging="472"/>
        <w:spacing w:after="0" w:line="266" w:lineRule="auto"/>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Biologics License Application (“BLA”) for marketing approval that includes sufficient evidence of establishing the safety, purity, and potency of the proposed biological product for each proposed indication, including from results of non-clinical testing and clinical trials;</w:t>
      </w:r>
    </w:p>
    <w:p>
      <w:pPr>
        <w:spacing w:after="0" w:line="175" w:lineRule="exact"/>
        <w:rPr>
          <w:rFonts w:ascii="Times New Roman" w:cs="Times New Roman" w:eastAsia="Times New Roman" w:hAnsi="Times New Roman"/>
          <w:sz w:val="18"/>
          <w:szCs w:val="18"/>
          <w:color w:val="auto"/>
        </w:rPr>
      </w:pPr>
    </w:p>
    <w:p>
      <w:pPr>
        <w:ind w:left="1320" w:right="120" w:hanging="472"/>
        <w:spacing w:after="0" w:line="261" w:lineRule="auto"/>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biological product is produced to assess compliance with cGMPs to assure that the facilities, methods and controls are adequate to preserve the biological product’s identity, strength, quality, potency and purity and, if applicable, compliance with the FDA’s current Good Tissue Practices (“cGTPs”) for the use of human cellular and tissue products;</w:t>
      </w:r>
    </w:p>
    <w:p>
      <w:pPr>
        <w:spacing w:after="0" w:line="179"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inspection of the non-clinical study and clinical trial sites to assure compliance with GLPs and GCPs and the integrity of the clinical data submitted in support of the BLA;</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candidate by an FDA advisory committee, where appropriate or if applicable;</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(unless a fee waiver applies); and</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Testing</w:t>
      </w:r>
    </w:p>
    <w:p>
      <w:pPr>
        <w:spacing w:after="0" w:line="119"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 xml:space="preserve">Before testing any biological product candidate, including a cell-based regenerative therapy product, in humans, the product candidate enters the preclinical testing stage. Preclinical tests, also referred to as nonclinical studies, include laboratory evaluations of a product candidate’s biological characteristics, chemistry, toxicity, stability and formulation, as well as animal studies to assess the potential safety and activity of the product candidate.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 The Consolidated Appropriations Act for 2023, signed into law on December 29, 2022, (P.L. 117-328) amended the Federal Food, Drug, and Cosmetic Act (the “FDCA”) and the Public Health Service Act to specify that nonclinical testing for drugs and biologics may, but is not required to, include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testing. According to the amended language, a sponsor may fulfill nonclinical testing requirements by completing various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5" w:right="499" w:bottom="699" w:gutter="0" w:footer="0" w:header="0"/>
        </w:sectPr>
      </w:pPr>
    </w:p>
    <w:bookmarkStart w:id="21" w:name="page22"/>
    <w:bookmarkEnd w:id="21"/>
    <w:p>
      <w:pPr>
        <w:ind w:right="320"/>
        <w:spacing w:after="0" w:line="284" w:lineRule="auto"/>
        <w:rPr>
          <w:sz w:val="20"/>
          <w:szCs w:val="20"/>
          <w:color w:val="auto"/>
        </w:rPr>
      </w:pPr>
      <w:r>
        <w:rPr>
          <w:rFonts w:ascii="Times New Roman" w:cs="Times New Roman" w:eastAsia="Times New Roman" w:hAnsi="Times New Roman"/>
          <w:sz w:val="18"/>
          <w:szCs w:val="18"/>
          <w:color w:val="auto"/>
        </w:rPr>
        <w:t xml:space="preserve">(e.g., cell-based assays, organ chips, or microphysiological systems),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studies (i.e., computer modeling), other human or nonhuman biology-based tests (e.g., bioprinting), 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tests.</w:t>
      </w:r>
    </w:p>
    <w:p>
      <w:pPr>
        <w:spacing w:after="0" w:line="5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conduct of the preclinical tests must comply with federal regulations and requirements including GLP. Some long-term preclinical testing, such as animal tests of reproductive adverse events and carcinogenicity, may continue after an IND for an investigational drug candidate is submitted to the FDA and human clinical trials have been initiated.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 BLA</w:t>
      </w:r>
    </w:p>
    <w:p>
      <w:pPr>
        <w:spacing w:after="0" w:line="119"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human subjects under the supervision of qualified investigators and in accordance with GCP requirements and protocols detailing the objectives of the study, the parameters to be used in monitoring the safety and effectiveness criteria to be evaluated. Each protocol must be submitted to the FDA as part of the IND. Study subjects must sign an informed consent form before participating in a clinical trial. There are also requirements governing the reporting of on-going clinical trials and clinical trial results to public registries.</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An IND provides an exemption from the FD&amp;C Act that allows an unapproved product candidate to be shipped in interstate commerce for use in an investigational clinical trial and is also a request for FDA authorization to administer such investigational product to humans. Such authorization must be secured prior to interstate shipment and administration of any biologic product candidate that is not the subject of an approved BLA. In support of a request for an IND, an applicant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An IND automatically becomes effective 30 days after receipt by the FDA, unless before that time the FDA issues a notice expressly authorizing the proposed trial to proceed or raises concerns or questions related to one or more proposed clinical trials and places the clinical trial on a clinical hold. If FDA raises concerns or places the trial on clinical hold, the IND sponsor and the agency must resolve any outstanding concerns before the proposed trials can begin.</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submission of an IND may not result in the FDA allowing clinical trials to commence.</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Following commencement of a clinical trial,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w:t>
      </w:r>
    </w:p>
    <w:p>
      <w:pPr>
        <w:spacing w:after="0" w:line="7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trial under an IND. When a foreign clinical trial is conducted under an IND, all FDA IND requirements must be met unless waived. When a foreign clinical trial is not conducted under an IND, the sponsor must ensure that the study complies with certain regulatory requirements of the FDA in order to use the study as support for an IND or application for marketing approval or licensing. In particular, such studies must be conducted in accordance with GCP, including review and approval by an IRB or independent ethics committee (an “IEC”) and informed consent from subjects and must meet other clinical trial requirements, such as sufficient patient population size and statistical powering. The FDA must be able to validate the data through an onsite inspection, if deemed necessary by the FDA.</w:t>
      </w:r>
    </w:p>
    <w:p>
      <w:pPr>
        <w:spacing w:after="0" w:line="79"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An IRB or IEC representing each institution participating in the clinical trial must review and approve the plan for any clinical trial before it commences at that institution, and the IRB or IEC must conduct continuing review and reapprove the study at least annually. The IRB or IEC must review and approve, among other things, the study protocol and informed consent information to be provided to study subjects. An IRB or IEC must operate in compliance with FDA regulations. An IRB or IEC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Some trials are overseen by an independent group of qualified experts organized by the trial sponsor, known as a Data Safety Monitoring Board (“DSMB”). This group provides authorization as to whether or not a trial may move forward at designated check points based on access that only the group maintains to available data from the study.</w:t>
      </w:r>
    </w:p>
    <w:p>
      <w:pPr>
        <w:spacing w:after="0" w:line="6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Information about certain clinical trials, including details of the protocol and eventually study results, also must be submitted within specific timeframes to the National Institutes of Health for public dissemination on the ClinicalTrials.gov data registry. Information related to the product, patient population, phase of investigation, study sites and investigators and other aspects of the clinical trial is made public as part of the registration of the clinical trial. Sponsors are also obligated to disclose the results of their clinical trials after completion. Disclosure of the results of these trials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1" w:right="599" w:bottom="1440" w:gutter="0" w:footer="0" w:header="0"/>
        </w:sectPr>
      </w:pPr>
    </w:p>
    <w:bookmarkStart w:id="22" w:name="page23"/>
    <w:bookmarkEnd w:id="22"/>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federal government. The U.S. Department of Health and Human Services’ (“DHHS”) Final Rule and the National Institutes of Health’s (“NIH’s”) corresponding policy on ClinicalTrials.gov registration and reporting requirements became effective in 2017, and both NIH and FDA have brought enforcement actions against non-compliant clinical trial sponsors.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 trials typically are conducted in three sequential phases that may overlap or be combined:</w:t>
      </w:r>
    </w:p>
    <w:p>
      <w:pPr>
        <w:spacing w:after="0" w:line="223" w:lineRule="exact"/>
        <w:rPr>
          <w:sz w:val="20"/>
          <w:szCs w:val="20"/>
          <w:color w:val="auto"/>
        </w:rPr>
      </w:pPr>
    </w:p>
    <w:p>
      <w:pPr>
        <w:ind w:left="1320" w:right="60" w:hanging="472"/>
        <w:spacing w:after="0" w:line="261" w:lineRule="auto"/>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product candidate is initially introduced into healthy human subjects and tested for safety, dosage tolerance, absorption,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metabolism, distribution and excretion. In the case of some product candidates for severe or life-threatening diseases, especially when the product candidate may be too inherently toxic to ethically administer to healthy volunteers, the initial human testing is often conducted in patients.</w:t>
      </w:r>
    </w:p>
    <w:p>
      <w:pPr>
        <w:spacing w:after="0" w:line="179" w:lineRule="exact"/>
        <w:rPr>
          <w:rFonts w:ascii="Times New Roman" w:cs="Times New Roman" w:eastAsia="Times New Roman" w:hAnsi="Times New Roman"/>
          <w:sz w:val="18"/>
          <w:szCs w:val="18"/>
          <w:color w:val="auto"/>
        </w:rPr>
      </w:pPr>
    </w:p>
    <w:p>
      <w:pPr>
        <w:ind w:left="1320" w:right="180" w:hanging="472"/>
        <w:spacing w:after="0" w:line="267" w:lineRule="auto"/>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product candidate is evaluated in a limited patient population to identify possible adverse effects and safety risks,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preliminarily evaluate the efficacy of the product candidate for specific targeted diseases and to determine dosage tolerance, optimal dosage and dosing schedule.</w:t>
      </w:r>
    </w:p>
    <w:p>
      <w:pPr>
        <w:spacing w:after="0" w:line="173" w:lineRule="exact"/>
        <w:rPr>
          <w:rFonts w:ascii="Times New Roman" w:cs="Times New Roman" w:eastAsia="Times New Roman" w:hAnsi="Times New Roman"/>
          <w:sz w:val="18"/>
          <w:szCs w:val="18"/>
          <w:color w:val="auto"/>
        </w:rPr>
      </w:pPr>
    </w:p>
    <w:p>
      <w:pPr>
        <w:ind w:left="1320" w:hanging="472"/>
        <w:spacing w:after="0" w:line="258" w:lineRule="auto"/>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Clinical trials are undertaken to further evaluate dosage, clinical efficacy, potency, and safety in an expanded 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population at geographically dispersed clinical trial sites. These clinical trials are intended to establish the overall risk/benefit ratio of the product candidate and provide, if appropriate, an adequate basis for approval and product labeling. These trials may include comparisons with placebo and/or other comparator treatments. The duration of treatment is often extended to mimic the actual use of a product during marketing.</w:t>
      </w:r>
    </w:p>
    <w:p>
      <w:pPr>
        <w:spacing w:after="0" w:line="293"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In certain instances, the FDA may mandate the performance of Phase 4 clinical trials as a condition of approval of a BLA.</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the Consolidated Appropriations Act for 2023, Congress amended the FDCA to require sponsors of a Phase 3 clinical trial, or other “pivotal study” of a new drug or biologic to support marketing authorization, to submit a diversity action plan for such clinical trial. The action plan must include the sponsor’s diversity goals for enrollment, as well as a rationale for the goals and a description of how the sponsor will meet them. A sponsor must submit a diversity action plan to the FDA by the time the sponsor submits the trial protocol to the agency for review. The FDA may grant a waiver for some or all of the requirements for a diversity action plan. It is unknown at this time how the diversity action plan may affect Phase 3 trial planning and timing, but if the FDA objects to a sponsor’s diversity action plan and requires the sponsor to amend the plan or take other actions, it may delay trial initiation.</w:t>
      </w:r>
    </w:p>
    <w:p>
      <w:pPr>
        <w:spacing w:after="0" w:line="8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the responsible IRBs and the investigators for serious and unexpected adverse events, any findings from other studies, tests in laboratory animals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such information. Phase 1, Phase 2 and Phase 3 clinical trials may not be completed successfully within any specified period, if at all.</w:t>
      </w:r>
    </w:p>
    <w:p>
      <w:pPr>
        <w:spacing w:after="0" w:line="8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Human cell-based products administered directly into kidney tissue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purity and potency of human cell-based therapy products, or that the data generated in these studies will be acceptable to the FDA to support marketing approval.</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also must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candidate, FDA approval of a BLA must be obtained before commercial marketing of the biological product. The BLA must include results of product development, laboratory and animal</w:t>
      </w: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93" w:right="559" w:bottom="1440" w:gutter="0" w:footer="0" w:header="0"/>
        </w:sectPr>
      </w:pPr>
    </w:p>
    <w:bookmarkStart w:id="23" w:name="page24"/>
    <w:bookmarkEnd w:id="23"/>
    <w:p>
      <w:pPr>
        <w:ind w:right="200"/>
        <w:spacing w:after="0" w:line="258" w:lineRule="auto"/>
        <w:rPr>
          <w:sz w:val="20"/>
          <w:szCs w:val="20"/>
          <w:color w:val="auto"/>
        </w:rPr>
      </w:pPr>
      <w:r>
        <w:rPr>
          <w:rFonts w:ascii="Times New Roman" w:cs="Times New Roman" w:eastAsia="Times New Roman" w:hAnsi="Times New Roman"/>
          <w:sz w:val="18"/>
          <w:szCs w:val="18"/>
          <w:color w:val="auto"/>
        </w:rPr>
        <w:t>studies, human studies, information on the manufacture and composition of the product, proposed labeling and other relevant information. To support marketing approval, the data submitted must be sufficient in quality and quantity to establish the safety, purity, potency and efficacy of the investigational product for its proposed indication or indications to the satisfaction of the FDA. The testing and approval processes require substantial time and effort and there can be no assurance that the FDA will accept the BLA for filing and, even if filed, that any approval will be granted on a timely basis, if at all.</w:t>
      </w:r>
    </w:p>
    <w:p>
      <w:pPr>
        <w:spacing w:after="0" w:line="7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Under the Prescription Drug User Fee Act, as amended (“PDUFA”), each BLA must be accompanied by a significant user fee. The FDA adjusts the PDUFA user fees on an annual basis. PDUFA also imposes an annual program fee for registered biological product manufacturers. Fee waivers or reductions are available in certain circumstances, including a waiver of the application fee for the first application filed by a small business.</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conducts an initial review to determine if the BLA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pure, potent and effective for its proposed indication or indications and whether the product is being manufactured in accordance with cGMPs to ensure the continued safety, purity and potency of such product.</w:t>
      </w:r>
    </w:p>
    <w:p>
      <w:pPr>
        <w:spacing w:after="0" w:line="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Under the performance goals and policies implemented by the FDA under PDUFA, for original BLAs, the FDA targets 10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due to FDA requests for additional information or clarification. The review process and the PDUFA goal date may be extended by the FDA for three additional months to consider new information or in the case of a clarification provided by the applicant to address an outstanding deficiency identified by the FDA following the original submission.</w:t>
      </w:r>
    </w:p>
    <w:p>
      <w:pPr>
        <w:spacing w:after="0" w:line="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cell-based therapy product, the FDA also will not approve the product if the manufacturer is not in compliance with the cGTPs. These are FDA regulations that govern the methods used in, and the facilities and controls used for, the manufacture of human cells, tissues, and cellular and tissue-based products (“HCT/ Ps”), which are human cells or tissue intended for implantation, transplant, infusion, or transfer into a human recipient. The primary intent of the cGTP requirements is to ensure that HCT/Ps are manufactured in a manner designed to prevent the introduction, transmission and spread of communicable disease. FDA regulations also require tissue establishments to register and list their HCT/Ps with the FDA and, when applicable, to evaluate donors through appropriate screening and testing. Additionally, before approving a BLA, the FDA will typically inspect one or more clinical sites to assure that the clinical trials were conducted in compliance with IND study requirements and GCP requirements. To assure cGMP, cGTP and GCP compliance, an applicant must incur significant expenditure of time, money and effort in the areas of training, record keeping, production and quality control.</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Additionally, the FDA may refer any BLA, including applications for novel biologic candidates which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considers such recommendations when making final decisions on approval. The FDA likely will re-analyze the clinical trial data, which could result in extensive discussions between the FDA and the applicant during the review process. The FDA also may require submission of a Risk Evaluation and Mitigation Strategy (“REMS”) if it determines that a REMS is necessary to ensure that the benefits of the medicine outweigh its risks and to assure the safe use of the medicine or biological product. The REMS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is needed, the sponsor of the BLA must submit a proposed REMS. The FDA will not approve a BLA without a REMS, if required.</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(“PREA”), a BLA or supplement to a BLA for a novel product (e.g., new active ingredient, new indication, etc.)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FDA may grant deferrals for submission of data or full or partial waivers. The PREA requires a sponsor who is planning to submit a marketing application for a product that includes a new active ingredient, new indication, new dosage form, new dosing regimen or new route of administration to submit an initial Pediatric Study Plan (“PSP”), within 60 days of an end-of-Phase 2 meeting or, if there is no such meeting, as early as practicable before the initiation of the Phase 3 or Phase 2/3 clinical trial. The initial PSP must include an outline of the pediatric study or studies that the</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24" w:name="page25"/>
    <w:bookmarkEnd w:id="24"/>
    <w:p>
      <w:pPr>
        <w:ind w:right="80"/>
        <w:spacing w:after="0" w:line="258" w:lineRule="auto"/>
        <w:rPr>
          <w:sz w:val="20"/>
          <w:szCs w:val="20"/>
          <w:color w:val="auto"/>
        </w:rPr>
      </w:pPr>
      <w:r>
        <w:rPr>
          <w:rFonts w:ascii="Times New Roman" w:cs="Times New Roman" w:eastAsia="Times New Roman" w:hAnsi="Times New Roman"/>
          <w:sz w:val="18"/>
          <w:szCs w:val="18"/>
          <w:color w:val="auto"/>
        </w:rPr>
        <w:t>sponsor plans to conduct, including trial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 upon initial PSP at any time if changes to the pediatric plan need to be considered based on data collected from preclinical studies, early phase clinical trials or other clinical development programs.</w:t>
      </w:r>
    </w:p>
    <w:p>
      <w:pPr>
        <w:spacing w:after="0" w:line="75"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FDA reviews a BLA to determine, among other things whether the product is safe, pure and potent and the facility in which it is manufactured, processed, packed or held meets standards designed to assure the product’s continued safety, purity and potency. The approval process is lengthy and often difficult, and the FDA may refuse to approve a BLA if the applicable regulatory criteria are not satisfied or may require additional clinical or other data and information. On the basis of the FDA’s evaluation of the BLA and accompanying information, including the results of the inspection of the manufacturing facilities, the FDA may issue either an approval letter or a Complete Response Letter (“CRL”). An approval letter authorizes commercial marketing of the product with specific prescribing information for specific indications. 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time-consuming requirements related to clinical trials, nonclinical studies or manufacturing. If a CRL is issued, the applicant may choose to either resubmit the BLA addressing all of the deficiencies identified in the letter, or withdraw the application. If and when those deficiencies have been addressed to the FDA’s satisfaction in a resubmission of the BLA, the FDA will issue an approval letter. The FDA has committed to reviewing such resubmissions in response to an issued CRL in either two or six months depending on the type of information included. Even with the submission of this additional information, however, the FDA ultimately may decide that the application does not satisfy the regulatory criteria for approval.</w:t>
      </w:r>
    </w:p>
    <w:p>
      <w:pPr>
        <w:spacing w:after="0" w:line="89"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If a product receives regulatory approval from the FDA, the approval is limited to the conditions of use (e.g., patient population, indication) described in the application. Further, depending on the specific risk(s) to be addressed, the FDA may require that contraindications, warnings or precautions be included in the product labeling, require that post-approval trials,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trials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Fast Track, RMAT and Priority Review Designations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RMAT designation and priority review, that are intended to expedite or simplify the process for the development or FDA review of medicines and biologics that are intended for the treatment of serious or life-threatening diseases or conditions. These programs do not change the standards for approval but may help expedite the development or approval process.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be eligible for fast-track designation, the FDA must determine, based on the request of a sponsor, that a new medicine or biological product is intended to treat a serious or life-threatening condition and demonstrates the potential to address an unmet medical need by providing a therapy where none exists or a therapy that may be potentially superior to existing therapy based on efficacy or safety factors. Fast track designation provides opportunities for more frequent interactions with the FDA review team to expedite development and review of the product. The FDA may also review sections of the NDA or BLA for a fast track product on a rolling basis before the complete application is submitted, if the sponsor and the FDA agree on a schedule for the submission of the application sections and the sponsor pays any required user fees upon submission of the first section of the NDA or BLA. In addition, fast track designation may be withdrawn by the sponsor or rescinded by the FDA if the designation is no longer supported by data emerging from the clinical trial process.</w:t>
      </w:r>
    </w:p>
    <w:p>
      <w:pPr>
        <w:spacing w:after="0" w:line="8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As part of the 21st Century Cures Act (the “Cures Act”), enacted in December 2016, Congress amended the FD&amp;C Act to facilitate an efficient development program for, and expedite review of regenerative medicine advanced therapies, or RMATs, which include cell and gene therapies, therapeutic tissue engineered products, human cell and tissue products, and combination products using any such therapies or products. Rilparencel has received RMAT designation from the FDA. RMAT designation does not include HCT/Ps regulated solely under section 361 of the PHS Act and 21 Code of Federal Regulations Part 1271. This program is intended to facilitate efficient development and expedite review of regenerative medicine therapies that are intended to treat, modify, reverse, or cure a serious or life-threatening disease or condition. A sponsor may request that FDA designate a medicine as a RMAT concurrently with or at any time after submission of an IND. The FDA has 60 calendar days to determine whether the medicine meets the criteria, including whether there is preliminary clinical evidence indicating that the medicine has the potential to address unmet medical needs for a serious or life- threatening disease or condition. A BLA for a regenerative medicine therapy that has received RMAT designation may be eligible for priority review or accelerated approval through use of</w:t>
      </w:r>
    </w:p>
    <w:p>
      <w:pPr>
        <w:spacing w:after="0" w:line="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25" w:name="page26"/>
    <w:bookmarkEnd w:id="25"/>
    <w:p>
      <w:pPr>
        <w:ind w:right="80"/>
        <w:spacing w:after="0" w:line="256" w:lineRule="auto"/>
        <w:rPr>
          <w:sz w:val="20"/>
          <w:szCs w:val="20"/>
          <w:color w:val="auto"/>
        </w:rPr>
      </w:pPr>
      <w:r>
        <w:rPr>
          <w:rFonts w:ascii="Times New Roman" w:cs="Times New Roman" w:eastAsia="Times New Roman" w:hAnsi="Times New Roman"/>
          <w:sz w:val="18"/>
          <w:szCs w:val="18"/>
          <w:color w:val="auto"/>
        </w:rPr>
        <w:t>surrogate or intermediate endpoints reasonably likely to predict long-term clinical benefit, or reliance upon data obtained from a meaningful number of sites. Benefits of RMAT designation also include early interactions with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trials, patient registries, or other sources of real-world evidence, such as electronic health records; the collection of larger confirmatory data sets; or post-approval monitoring of all patients treated with such therapy prior to its approval.</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Finally, the FDA may designate a product for priority review if it is a medicine or biologic that treats a serious condition and, if approved, would provide a significant improvement in safety or effectiveness. The FDA determines at the time that the marketing application is submitted, on a case-by-case basis, whether the proposed medicine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10 months to six months for an original BLA or for a New Molecular Entity NDA from the date of filing.</w:t>
      </w:r>
    </w:p>
    <w:p>
      <w:pPr>
        <w:spacing w:after="0" w:line="84"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RMAT therapy designation and priority review do not change the standards for approval and may not ultimately expedite the development or approval process.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 pathway</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products studied for their safety and effectiveness in treating serious or life-threatening illnesses and that provide meaningful therapeutic benefit over existing treatments may receive accelerated approval from the FDA and may be approved on the basis of adequate and well-controlled clinical trials establishing that the product has an effect on a surrogate endpoint that is reasonably likely to predict clinical benefit. The FDA may also grant accelerated approval for such a medicine or biologic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As a condition of approval, the FDA may require that a sponsor of a medicine receiving accelerated approval perform post- marketing clinical trials to verify and describe the predicted effect on IMM or other clinical endpoint, and the product may be subject to expedited withdrawal procedures. Drugs and biologics granted accelerated approval must meet the same statutory standards for safety and effectiveness as those granted traditional approval.</w:t>
      </w:r>
    </w:p>
    <w:p>
      <w:pPr>
        <w:spacing w:after="0" w:line="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medicine, such as an effect on IMM. The FDA has limited experience with accelerated approvals based on intermediate clinical endpoints but has indicated that such endpoints generally may support accelerated approval when the therapeutic effect measured by the endpoint is not itself a clinical benefit and basis for traditional approval, if there is a basis for concluding that the therapeutic effect is reasonably likely to predict the ultimate long-term clinical benefit of a medicine.</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medicine, even if the effect on the surrogate or intermediate clinical endpoint occurs rapidly. For example, accelerated approval has been used extensively in the development and approval of medicines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7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medicine’s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the predicted clinical benefit of the product during post-marketing studies, would allow the FDA to withdraw approval of the medicine. As part of the Consolidated Appropriations Act for 2023, Congress provided FDA additional statutory authority to mitigate potential risks to patients from continued marketing of ineffective drugs previously granted accelerated approval. Under the act’s amendments to the FDCA, FDA may require the sponsor of a product granted accelerated approval to have a confirmatory trial underway prior to approval. The sponsor must also submit progress reports on a confirmatory trial every six months until the trial is</w:t>
      </w:r>
    </w:p>
    <w:p>
      <w:pPr>
        <w:spacing w:after="0" w:line="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93" w:right="619" w:bottom="1440" w:gutter="0" w:footer="0" w:header="0"/>
        </w:sectPr>
      </w:pPr>
    </w:p>
    <w:bookmarkStart w:id="26" w:name="page27"/>
    <w:bookmarkEnd w:id="26"/>
    <w:p>
      <w:pPr>
        <w:ind w:right="380"/>
        <w:spacing w:after="0" w:line="282" w:lineRule="auto"/>
        <w:rPr>
          <w:sz w:val="20"/>
          <w:szCs w:val="20"/>
          <w:color w:val="auto"/>
        </w:rPr>
      </w:pPr>
      <w:r>
        <w:rPr>
          <w:rFonts w:ascii="Times New Roman" w:cs="Times New Roman" w:eastAsia="Times New Roman" w:hAnsi="Times New Roman"/>
          <w:sz w:val="18"/>
          <w:szCs w:val="18"/>
          <w:color w:val="auto"/>
        </w:rPr>
        <w:t>complete, and such reports are published on FDA’s website. The amendments also give FDA the option of using expedited procedures to withdraw product approval if the sponsor’s confirmatory trial fails to verify the claimed clinical benefits of the product.</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All promotional materials for product candidates being considered and approved under the accelerated approval program are subject to prior review by the FDA.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Maintaining substantial compliance with applicable federal, state, and local statutes and regulations requires the expenditure of substantial time and financial resources. Following approval of a new product, the manufacturer and the approved product are subject to pervasive and continuing regulation by the FDA, including, among other things, monitoring and recordkeeping activities, reporting of adverse experiences with the product, product sampling and distribution restrictions, complying with promotion and advertising requirements.</w:t>
      </w:r>
    </w:p>
    <w:p>
      <w:pPr>
        <w:spacing w:after="0" w:line="7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FDA regulations require that products be manufactured in specific approved facilities and in accordance with cGMP. The cGMP regulations include requirements relating to organization of personnel, buildings and facilities, equipment, control of components and product containers and closures, production and process controls, packaging and labeling controls, holding and distribution, laboratory controls, records and reports and returned or salvaged products. We must comply with applicable requirements in the cGMP and cGTP regulations, including quality control and quality assurance and maintenance of records and documentation. Entities involved in the manufacture and distribution of approved biologics and HCT/Ps are required to register their establishments with the FDA and certain state agencies, as well as applicable foreign counterparts, and are subject to periodic unannounced inspections by such governmental authorities for compliance with cGMPs, cGTPs and other laws and regulations. Accordingly, we must continue to expend time, money and effort in the area of production and quality control to maintain cGMP compliance. Future inspections by governmental authorities may identify compliance issues at our facilities that may disrupt production or distribution or require substantial resources to correct. In addition, the discovery of conditions that violate these rules, including failure to conform to cGMPs or cGTPs, could result in enforcement actions, and the discovery of problems with a product after approval may result in restrictions on a product, manufacturer or holder of an approved BLA, including voluntary recall and regulatory sanctions as described below.</w:t>
      </w:r>
    </w:p>
    <w:p>
      <w:pPr>
        <w:spacing w:after="0" w:line="8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also must comply with the FDA’s advertising and promotion requirements, such as those related to direct-to-consumer advertising, industry-sponsored scientific and educational activities, and promotional activities involving the internet, as well as the prohibition on promoting products for uses or in patient populations that are not described in the product’s approved labeling (known as “off-label use”).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there are any modifications to the product, including changes in indications, labeling or manufacturing processes or facilities, the applicant may be required to submit and obtain FDA approval of a new BLA or a BLA supplement, which may require the applicant to develop additional data or conduct additional nonclinical studies or clinical trials. The FDA may also place other conditions on approvals including the requirement for a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8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Once an approval or clearance of a medicine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or clinical trials to assess new safety risks, or imposition of distribution or other restrictions under a REMS program. Other potential consequences include, among other things:</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27" w:name="page28"/>
    <w:bookmarkEnd w:id="27"/>
    <w:p>
      <w:pPr>
        <w:ind w:left="1320" w:hanging="472"/>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enforcement-related letters or clinical holds on post-approval clinical trials;</w:t>
      </w:r>
    </w:p>
    <w:p>
      <w:pPr>
        <w:spacing w:after="0" w:line="225" w:lineRule="exact"/>
        <w:rPr>
          <w:rFonts w:ascii="Times New Roman" w:cs="Times New Roman" w:eastAsia="Times New Roman" w:hAnsi="Times New Roman"/>
          <w:sz w:val="18"/>
          <w:szCs w:val="18"/>
          <w:color w:val="auto"/>
        </w:rPr>
      </w:pPr>
    </w:p>
    <w:p>
      <w:pPr>
        <w:ind w:left="1320" w:right="40" w:hanging="472"/>
        <w:spacing w:after="0" w:line="282" w:lineRule="auto"/>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NDAs/BLAs or supplements to approved NDAs/BLAs, or suspension or revocation of product approvals;</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225"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 care programs; or mandated modification of promotional materials and labeling and the issuance of corrective information.</w:t>
      </w:r>
    </w:p>
    <w:p>
      <w:pPr>
        <w:spacing w:after="0" w:line="27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which sets minimum standards for the registration and regulation of pharmaceutical distributors by the states. Furthermore, the Drug Supply Chain Security Act (the “DSCSA”) was enacted with the aim of building an electronic system to identify and trace certain prescription medicines distributed in the United States, including most biological products. The DSCSA mandates phased-in and resource-intensive obligations for pharmaceutical manufacturers, wholesale distributors, and dispensers over a 10-year period which culminated in November 2023. After an additional one-year stabilization period to give entities subject to the DSCSA additional time to finalize interoperable tracking systems and to ensure supply chain continuity, the applicable requirements under the DSCSA became fully enforceable as of November 27, 2024. From time to time, new legislation and regulations may be implemented that could significantly change the statutory provisions governing the approval, manufacturing and marketing of products regulated by the FDA. It is impossible to predict whether further legislative or regulatory changes will be enacted, or FDA regulations, guidance or interpretations changed or what the impact of such changes, if any, may be.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the use of our product candidates, some of our U.S. patents may be eligible for limited patent term extension under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trials and other factors involved in the filing of the relevant BLA.</w:t>
      </w:r>
    </w:p>
    <w:p>
      <w:pPr>
        <w:spacing w:after="0" w:line="8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 biological product may also obtain pediatric market exclusivity in the United States. Pediatric exclusivity is a type of non-patent marketing exclusivity available in the United States and, if granted, it provides for the attachment of an additional six months of marketing protection to the term of any existing regulatory exclusivity or listed patents.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The issuance of a Written Request does not require the sponsor to undertake the described studies.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Reference product exclusivity for biological products</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(the “ACA”) was enacted in the United States and included the Biologics Price Competition and Innovation Act (the “BPCIA”). The BPCIA amended the Public Health Service Act (the “PHSA”) to create an abbreviated approval pathway for biological products that are biosimilar to or interchangeable with an FDA-licensed reference biological product. To date, the FDA has approved a number of biosimilars, and numerous biosimilars have been approved in Europe. The FDA has also issued several guidance documents outlining its approach to reviewing and approving biosimilars and interchangeable biosimilars.</w:t>
      </w:r>
    </w:p>
    <w:p>
      <w:pPr>
        <w:spacing w:after="0" w:line="75" w:lineRule="exact"/>
        <w:rPr>
          <w:sz w:val="20"/>
          <w:szCs w:val="20"/>
          <w:color w:val="auto"/>
        </w:rPr>
      </w:pPr>
    </w:p>
    <w:p>
      <w:pPr>
        <w:jc w:val="both"/>
        <w:ind w:right="540" w:firstLine="509"/>
        <w:spacing w:after="0" w:line="257" w:lineRule="auto"/>
        <w:rPr>
          <w:sz w:val="20"/>
          <w:szCs w:val="20"/>
          <w:color w:val="auto"/>
        </w:rPr>
      </w:pPr>
      <w:r>
        <w:rPr>
          <w:rFonts w:ascii="Times New Roman" w:cs="Times New Roman" w:eastAsia="Times New Roman" w:hAnsi="Times New Roman"/>
          <w:sz w:val="18"/>
          <w:szCs w:val="18"/>
          <w:color w:val="auto"/>
        </w:rPr>
        <w:t>A biosimilar product is defined as one that is highly similar to a reference product notwithstanding minor differences in clinically inactive components and for which there are no clinically meaningful differences between the biological product and the reference product in terms of the safety, purity and potency of the product. An interchangeable product is a biosimilar product that</w:t>
      </w:r>
    </w:p>
    <w:p>
      <w:pPr>
        <w:spacing w:after="0" w:line="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01" w:right="559" w:bottom="1440" w:gutter="0" w:footer="0" w:header="0"/>
        </w:sectPr>
      </w:pPr>
    </w:p>
    <w:bookmarkStart w:id="28" w:name="page29"/>
    <w:bookmarkEnd w:id="28"/>
    <w:p>
      <w:pPr>
        <w:ind w:right="260"/>
        <w:spacing w:after="0" w:line="256" w:lineRule="auto"/>
        <w:rPr>
          <w:sz w:val="20"/>
          <w:szCs w:val="20"/>
          <w:color w:val="auto"/>
        </w:rPr>
      </w:pPr>
      <w:r>
        <w:rPr>
          <w:rFonts w:ascii="Times New Roman" w:cs="Times New Roman" w:eastAsia="Times New Roman" w:hAnsi="Times New Roman"/>
          <w:sz w:val="18"/>
          <w:szCs w:val="18"/>
          <w:color w:val="auto"/>
        </w:rPr>
        <w:t>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Upon licensure by the FDA, an interchangeable biosimilar may be substituted for the reference product without the intervention of the health care provider who prescribed the reference product. The FDA approved the first interchangeable biosimilars, including an interchangeable monoclonal antibody biosimilar, in 2021.</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biosimilar applicant must demonstrate that the product is biosimilar based on data from (1) analytical studies showing that the biosimilar product is highly similar to the reference product; (2) animal studies (including toxicity); and (3) one or more clinical studies to demonstrate safety, purity and potency in one or more appropriate conditions of use for which the reference product is approved. In addition, the applicant must show that the biosimilar and reference products have the same mechanism of action for the conditions of use on the label, route of administration, dosage and strength, and the production facility must meet standards designed to assure product safety, purity and potency.</w:t>
      </w:r>
    </w:p>
    <w:p>
      <w:pPr>
        <w:spacing w:after="0" w:line="75"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 reference biological product is granted 12 years of data exclusivity from the time of first licensure of the product, and the first approved interchangeable biologic product will be granted an exclusivity period of up to one year after it is first commercially marketed. As part of the Consolidated Appropriations Act for 2023, Congress amended the PHSA in order to permit multiple interchangeable products approved on the same day to receive and benefit from this one-year exclusivity period. If pediatric studies are performed and accepted by the FDA as responsive to a Written Request, the 12-year exclusivity period will be extended for an additional six months. In addition,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supplement for the reference product for a subsequent application filed by the same sponsor or manufacturer of the reference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88" w:lineRule="exact"/>
        <w:rPr>
          <w:sz w:val="20"/>
          <w:szCs w:val="20"/>
          <w:color w:val="auto"/>
        </w:rPr>
      </w:pPr>
    </w:p>
    <w:p>
      <w:pPr>
        <w:ind w:right="40" w:firstLine="509"/>
        <w:spacing w:after="0" w:line="289" w:lineRule="auto"/>
        <w:rPr>
          <w:sz w:val="20"/>
          <w:szCs w:val="20"/>
          <w:color w:val="auto"/>
        </w:rPr>
      </w:pPr>
      <w:r>
        <w:rPr>
          <w:rFonts w:ascii="Times New Roman" w:cs="Times New Roman" w:eastAsia="Times New Roman" w:hAnsi="Times New Roman"/>
          <w:sz w:val="17"/>
          <w:szCs w:val="17"/>
          <w:color w:val="auto"/>
        </w:rPr>
        <w:t>The BPCIA is complex and is still being interpreted and implemented by the FDA. In addition, recent government proposals have sought to reduce the 12-year reference product exclusivity period. Other aspects of the BPCIA, some of which may impact the BPCIA exclusivity provisions, have also been the subject of litigation. As a result, the ultimate impact, implementation and meaning of the BPCIA is subject to significant uncertainty.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regulation</w:t>
      </w:r>
    </w:p>
    <w:p>
      <w:pPr>
        <w:spacing w:after="0" w:line="121" w:lineRule="exact"/>
        <w:rPr>
          <w:sz w:val="20"/>
          <w:szCs w:val="20"/>
          <w:color w:val="auto"/>
        </w:rPr>
      </w:pPr>
    </w:p>
    <w:p>
      <w:pPr>
        <w:ind w:right="200" w:firstLine="509"/>
        <w:spacing w:after="0" w:line="274" w:lineRule="auto"/>
        <w:rPr>
          <w:sz w:val="20"/>
          <w:szCs w:val="20"/>
          <w:color w:val="auto"/>
        </w:rPr>
      </w:pPr>
      <w:r>
        <w:rPr>
          <w:rFonts w:ascii="Times New Roman" w:cs="Times New Roman" w:eastAsia="Times New Roman" w:hAnsi="Times New Roman"/>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6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Furthermore, some countries have enacted or are considering enacting legal restrictions on the import or export of human genetic materials, cells or tissues. For example, in China, the Ministry of Science and Technology (“MOST”) and the former Ministry of Health in June 1998 jointly established the Interim Measures for the Administration of Human Genetic Resources in China. In July 2015, the MOST issued the Service Guide for the Examination and Approval of Sampling, Collecting, Trading, Exporting Human Genetic Resources, which provides that foreign entities that collect and use patients’ human genetic resources in clinical trials shall be required to file for an advance approval with the Human Genetic Resources Administration Office (“HGRAO”) through its online system.</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October 2017, the MOST issued the Circular on Optimizing the Administrative Examination and Approval of Human Genetic Resources, which simplified the approval process for collecting and using human genetic resources for the purpose of seeking marketing authorization of medicines in China.</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May 2019, the State Council of China issued the Regulation on the Administration of Human Genetic Resources (the “HGR Regulation”), which stipulates the approval requirements pertinent to research collaborations between Chinese and foreign-owned entities. Pursuant to this new rule, a new filing system (as opposed to the advance approval approach originally in place) is put in place for international clinical trials using Chinese patients’ biospecimens at clinical study sites without involving the export</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29" w:name="page30"/>
    <w:bookmarkEnd w:id="29"/>
    <w:p>
      <w:pPr>
        <w:ind w:right="180"/>
        <w:spacing w:after="0" w:line="266" w:lineRule="auto"/>
        <w:rPr>
          <w:sz w:val="20"/>
          <w:szCs w:val="20"/>
          <w:color w:val="auto"/>
        </w:rPr>
      </w:pPr>
      <w:r>
        <w:rPr>
          <w:rFonts w:ascii="Times New Roman" w:cs="Times New Roman" w:eastAsia="Times New Roman" w:hAnsi="Times New Roman"/>
          <w:sz w:val="18"/>
          <w:szCs w:val="18"/>
          <w:color w:val="auto"/>
        </w:rPr>
        <w:t>of such biospecimens outside of China. A notification filing that specifies the type, quantity and usage of the biospecimens, among others, with the HGRAO is required before conducting such clinical trials. The collection, use, and outbound transfer of Chinese patients’ biospecimens in international collaboration for basic scientific research involving export are still subject to the advance approval of the HGRAO.</w:t>
      </w:r>
    </w:p>
    <w:p>
      <w:pPr>
        <w:spacing w:after="0" w:line="6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October 2020, the Standing Committee of the National People’s Congress promulgated the China Biosecurity Law, which became effective on April 15, 2021. The China Biosecurity Law reaffirms the regulatory requirements stipulated by the HGR Regulation while potentially increasing the administrative fines significantly in cases in which foreign entities are alleged to have collected, preserved or exported Chinese human genetic resources.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Foreign Corrupt Practices Act</w:t>
      </w:r>
    </w:p>
    <w:p>
      <w:pPr>
        <w:spacing w:after="0" w:line="12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 U.S. Foreign Corrupt Practices Act (the “FCPA”), to which we are subject, prohibits corporations and individuals from engaging in certain activities to obtain or retain business or to influence a person working in an official capacity. Under the FCPA,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However, in February 2025, President Trump issued an executive order directing the U.S. Department of Justice to pause enforcement of the FCPA and to issue new enforcement guidelines that take into consideration U.S. national security and the competitiveness of U.S. companies abroad. It is unclear how this presidential directive may affect the biopharmaceutical industry as a whole or our business in particular.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United States</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governing,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products. Because biologically sourced raw materials are subject to unique contamination risks, their use may be restricted in some countries.</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 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controls</w:t>
      </w:r>
    </w:p>
    <w:p>
      <w:pPr>
        <w:spacing w:after="0" w:line="121" w:lineRule="exact"/>
        <w:rPr>
          <w:sz w:val="20"/>
          <w:szCs w:val="20"/>
          <w:color w:val="auto"/>
        </w:rPr>
      </w:pPr>
    </w:p>
    <w:p>
      <w:pPr>
        <w:ind w:right="1220" w:firstLine="509"/>
        <w:spacing w:after="0" w:line="282"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 These include the following:</w:t>
      </w:r>
    </w:p>
    <w:p>
      <w:pPr>
        <w:spacing w:after="0" w:line="162" w:lineRule="exact"/>
        <w:rPr>
          <w:sz w:val="20"/>
          <w:szCs w:val="20"/>
          <w:color w:val="auto"/>
        </w:rPr>
      </w:pPr>
    </w:p>
    <w:p>
      <w:pPr>
        <w:ind w:left="1320" w:hanging="472"/>
        <w:spacing w:after="0" w:line="266" w:lineRule="auto"/>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391" w:lineRule="exact"/>
        <w:rPr>
          <w:rFonts w:ascii="Times New Roman" w:cs="Times New Roman" w:eastAsia="Times New Roman" w:hAnsi="Times New Roman"/>
          <w:sz w:val="18"/>
          <w:szCs w:val="18"/>
          <w:color w:val="auto"/>
        </w:rPr>
      </w:pPr>
    </w:p>
    <w:p>
      <w:pPr>
        <w:ind w:left="1320" w:right="20" w:hanging="472"/>
        <w:spacing w:after="0" w:line="256" w:lineRule="auto"/>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new MAAs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187" w:lineRule="exact"/>
        <w:rPr>
          <w:rFonts w:ascii="Times New Roman" w:cs="Times New Roman" w:eastAsia="Times New Roman" w:hAnsi="Times New Roman"/>
          <w:sz w:val="18"/>
          <w:szCs w:val="18"/>
          <w:color w:val="auto"/>
        </w:rPr>
      </w:pPr>
    </w:p>
    <w:p>
      <w:pPr>
        <w:ind w:left="1320" w:right="300" w:hanging="472"/>
        <w:spacing w:after="0" w:line="282" w:lineRule="auto"/>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advertising and promotional activities for the product must be consistent with the approved Summary of Product Characteristics (“SmPC”), and therefore all off-label promotion is prohibited.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 care laws and compliance requirements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If our product candidates are approved in the United States, we will have to comply with various U.S. federal and state laws, rules and regulations pertaining to health care fraud and abuse, including anti-kickback laws and false claims laws, rules and regulations. Violations of the fraud and abuse laws are punishable by criminal and civil sanctions, including, in some instances, exclusion from participation in federal and state health care programs, including Medicare and Medicaid. These laws include:</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30" w:name="page31"/>
    <w:bookmarkEnd w:id="30"/>
    <w:p>
      <w:pPr>
        <w:ind w:left="1320" w:hanging="472"/>
        <w:spacing w:after="0" w:line="254" w:lineRule="auto"/>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(the “AKS”),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arrangement or recommendation of any good, facility, item or service for which payment may be made, in whole or in part, under a federal health care program, such as the Medicare and Medicaid programs; a person or entity does not need to have actual knowledge of the AKS or specific intent to violate it to have committed a violation. In addition, the government may assert that a claim including items or services resulting from a violation of the AKS constitutes a false or fraudulent claim for purposes of the federal False Claims Act (the “FCA”) or federal civil money penalties statute;</w:t>
      </w:r>
    </w:p>
    <w:p>
      <w:pPr>
        <w:spacing w:after="0" w:line="191" w:lineRule="exact"/>
        <w:rPr>
          <w:rFonts w:ascii="Times New Roman" w:cs="Times New Roman" w:eastAsia="Times New Roman" w:hAnsi="Times New Roman"/>
          <w:sz w:val="18"/>
          <w:szCs w:val="18"/>
          <w:color w:val="auto"/>
        </w:rPr>
      </w:pPr>
    </w:p>
    <w:p>
      <w:pPr>
        <w:ind w:left="1320" w:hanging="472"/>
        <w:spacing w:after="0" w:line="254" w:lineRule="auto"/>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 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payers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191" w:lineRule="exact"/>
        <w:rPr>
          <w:rFonts w:ascii="Times New Roman" w:cs="Times New Roman" w:eastAsia="Times New Roman" w:hAnsi="Times New Roman"/>
          <w:sz w:val="18"/>
          <w:szCs w:val="18"/>
          <w:color w:val="auto"/>
        </w:rPr>
      </w:pPr>
    </w:p>
    <w:p>
      <w:pPr>
        <w:ind w:left="1320" w:right="20" w:hanging="472"/>
        <w:spacing w:after="0" w:line="261" w:lineRule="auto"/>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Law (beneficiary 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79" w:lineRule="exact"/>
        <w:rPr>
          <w:rFonts w:ascii="Times New Roman" w:cs="Times New Roman" w:eastAsia="Times New Roman" w:hAnsi="Times New Roman"/>
          <w:sz w:val="18"/>
          <w:szCs w:val="18"/>
          <w:color w:val="auto"/>
        </w:rPr>
      </w:pPr>
    </w:p>
    <w:p>
      <w:pPr>
        <w:ind w:left="1320" w:right="60" w:hanging="472"/>
        <w:spacing w:after="0" w:line="254" w:lineRule="auto"/>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which created new federal criminal statutes that prohibit knowingly and willfully executing, or attempting to execute, a scheme to defraud any health care benefit program or obtain, by means of false or fraudulent pretenses, representations, or promises, any of the money or property owned by, or under the custody or control of, any health 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 care benefits, items or services relating to health care matters; similar to the AKS, a person or entity does not need to have actual knowledge of the statute or specific intent to violate it in order to have committed a violation;</w:t>
      </w:r>
    </w:p>
    <w:p>
      <w:pPr>
        <w:spacing w:after="0" w:line="191" w:lineRule="exact"/>
        <w:rPr>
          <w:rFonts w:ascii="Times New Roman" w:cs="Times New Roman" w:eastAsia="Times New Roman" w:hAnsi="Times New Roman"/>
          <w:sz w:val="18"/>
          <w:szCs w:val="18"/>
          <w:color w:val="auto"/>
        </w:rPr>
      </w:pPr>
    </w:p>
    <w:p>
      <w:pPr>
        <w:ind w:left="1320" w:right="20" w:hanging="472"/>
        <w:spacing w:after="0" w:line="255" w:lineRule="auto"/>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ACA, including the provision commonly referred to as the Physician Payments Sunshine Act, and its implementing regulations, which requires applicable manufacturers of medicines, devices, biologics and medical supplies for which payment is available under the Medicare, Medicaid or the Children’s Health Insurance Program to report annually to the U.S. Centers for Medicare and Medicaid Services (“CMS”) information related to payments or other transfers of value made to physicians (defined to include doctors, dentists, optometrists, podiatrists and chiropractors), physician assistants, nurse practitioners, clinical nurse specialists, certified registered nurse anesthetists, anesthesiologist assistants, certified nurse midwives and teaching hospitals, as well as ownership and investment interests held by physicians and their immediate family; and</w:t>
      </w:r>
    </w:p>
    <w:p>
      <w:pPr>
        <w:spacing w:after="0" w:line="188" w:lineRule="exact"/>
        <w:rPr>
          <w:rFonts w:ascii="Times New Roman" w:cs="Times New Roman" w:eastAsia="Times New Roman" w:hAnsi="Times New Roman"/>
          <w:sz w:val="18"/>
          <w:szCs w:val="18"/>
          <w:color w:val="auto"/>
        </w:rPr>
      </w:pPr>
    </w:p>
    <w:p>
      <w:pPr>
        <w:ind w:left="1320" w:right="240" w:hanging="472"/>
        <w:spacing w:after="0" w:line="258" w:lineRule="auto"/>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FCPA and other anti-corruption laws and regulations pertaining to our financial relationships and interactions with foreign government officials, which prohibit U.S. companies and their employees, officers, and representatives from paying, offering to pay, promising, or authorizing the payment of anything of value to any foreign government official (including, potentially, healthcare professionals in countries in which we operate or may sell our products), government staff member, political party, or political candidate to obtain or retain business or to otherwise seek favorable treatment.</w:t>
      </w:r>
    </w:p>
    <w:p>
      <w:pPr>
        <w:spacing w:after="0" w:line="200" w:lineRule="exact"/>
        <w:rPr>
          <w:sz w:val="20"/>
          <w:szCs w:val="20"/>
          <w:color w:val="auto"/>
        </w:rPr>
      </w:pPr>
    </w:p>
    <w:p>
      <w:pPr>
        <w:spacing w:after="0" w:line="307"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Additionally, we are subject to state and foreign equivalents of each of the health care laws and regulations described above, among others, some of which may be broader in scope and may apply regardless of the payor. Many U.S. states have adopted laws similar to the AKS and FCA, and may apply to our business practices, including, but not limited to, research, distribution, sales or marketing arrangements and claims involving health 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 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w:t>
      </w:r>
    </w:p>
    <w:p>
      <w:pPr>
        <w:spacing w:after="0" w:line="80"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5" w:right="459" w:bottom="1440" w:gutter="0" w:footer="0" w:header="0"/>
        </w:sectPr>
      </w:pPr>
    </w:p>
    <w:bookmarkStart w:id="31" w:name="page32"/>
    <w:bookmarkEnd w:id="31"/>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Violations of fraud and abuse laws may be punishable by criminal and/or civil sanctions, including penalties, fines, imprisonment and/or exclusion or suspension from federal and state health care programs such as Medicare and Medicaid and debarment from contracting with the U.S. government. In addition, private individuals have the ability to bring actions on behalf of the U.S. government under the FCA as well as under the false claims laws of several states.</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Law enforcement authorities are increasingly focused on enforcing health care fraud and abuse laws, and it is possible that some of our practices may be challenged under these laws. Efforts to ensure that our current and future business arrangements with third parties, and our business generally, will comply with applicable health care laws and regulations will involve substantial costs. If our operations, including our arrangements with physicians and other health care providers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 care programs (such as Medicare and Medicaid), and imprisonment, any of which could adversely affect our ability to operate our business and our financial results. The approval and commercialization of any of our product candidates outside the United States will also subject us to foreign equivalents of the health care laws mentioned above, among other foreign laws.</w:t>
      </w:r>
    </w:p>
    <w:p>
      <w:pPr>
        <w:spacing w:after="0" w:line="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any of the physicians or other health care providers or entities with whom we expect to do business are found to be not in compliance with applicable laws, they may be subject to criminal, civil or administrative sanctions, including exclusions from government-funded health care programs, which may also adversely affect our business.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these laws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a robust system to comply with multiple jurisdictions with different compliance and reporting requirements increases the possibility that a health care company may violate one or more of the requirements. Efforts to ensure that our business arrangements with third parties will comply with applicable health care laws and regulations will involve substantial cost.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There are federal, state and foreign laws governing the privacy and security of health information and personal information, many of which differ from each other in significant ways and apply simultaneously, thus complicating compliance efforts.</w:t>
      </w:r>
    </w:p>
    <w:p>
      <w:pPr>
        <w:spacing w:after="0" w:line="5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(“HITECH”), and its implementing regulations, strengthens and expands requirements relating to the privacy, security, and transmission of individually identifiable health information; and requires notification to affected individuals and regulatory authorities of certain breaches of security of individually identifiable health information.</w:t>
      </w:r>
    </w:p>
    <w:p>
      <w:pPr>
        <w:spacing w:after="0" w:line="6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HITECH strengthened and expanded HIPAA and increased penalties for violations. Under HITECH, regulated entities are subject to enforcement by the federal government and by state Attorneys General, who were given authority to enforce HIPAA under HITECH. Some state laws impose privacy protections more stringent than HIPAA and data security requirements applicable to information beyond health care information (for example, the California Consumer Privacy Act of 2018 (the “CCPA”)). These state laws create an additional level of enforcement and may require additional reporting in the event of breach. Most of the health care providers in the United States with whom we collaborate to develop and test our products must comply with HIPAA and applicable state law. We may not be directly subject to these laws, however, we must structure our activities in compliance with these laws to ensure that we can access and use health information to support our research, development and other activities. Our failure to comply with these privacy and security laws or a breach of health information or personal data could prompt enforcement against our health care provider partners, create third party liability for our company and/or cause significant financial or reputational harm to our company.</w:t>
      </w:r>
    </w:p>
    <w:p>
      <w:pPr>
        <w:spacing w:after="0" w:line="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Numerous other countries have, or are developing, laws governing the collection, use and transmission of personal data as well. For example, the European Parliament and the Council of the European Union adopted a comprehensive general data privacy framework called the General Data Protection Regulation ("GDPR"), which went into effect in 2018 and implemented a broad data protection framework that expanded the scope of EU data protection law, and applies to entities located inside and outside of the EU that process, or control the processing of, personal data relating to individuals located in the EU, including clinical trial data. Also in China, the Personal Information Protection Law, which took effect on November 1, 2021, introduced stringent protection requirements for processing personal information, which are in many ways akin to the requirements of the GDPR. We also continue to see other jurisdictions proposing and enacting data localization laws. Evolving legal, contractual, and other privacy and data protection obligations, could impose significant limitations, require changes to our business, or restrict our collection, use, storage or processing of personal data, which may increase our compliance expenses and make our business more costly or less efficient to conduct. In addition, any such changes could impact our ability to develop an adequate marketing strategy and pursue our growth strategy effectively, or even prevent us from providing our products in jurisdictions in which we receive marketing authorization, or potentially cause us to incur liability in an effort to comply, which, in turn, could adversely affect our business,</w:t>
      </w:r>
    </w:p>
    <w:p>
      <w:pPr>
        <w:spacing w:after="0" w:line="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32" w:name="page33"/>
    <w:bookmarkEnd w:id="32"/>
    <w:p>
      <w:pPr>
        <w:ind w:right="280"/>
        <w:spacing w:after="0" w:line="261" w:lineRule="auto"/>
        <w:rPr>
          <w:sz w:val="20"/>
          <w:szCs w:val="20"/>
          <w:color w:val="auto"/>
        </w:rPr>
      </w:pPr>
      <w:r>
        <w:rPr>
          <w:rFonts w:ascii="Times New Roman" w:cs="Times New Roman" w:eastAsia="Times New Roman" w:hAnsi="Times New Roman"/>
          <w:sz w:val="18"/>
          <w:szCs w:val="18"/>
          <w:color w:val="auto"/>
        </w:rPr>
        <w:t>financial condition, results of operations and prospects. Complying with these numerous, complex and often evolving requirements is expensive and difficult, and suspected and actual failure to comply, whether by us, our service providers, CROs, business partners or other third parties, or any inadvertent or unauthorized access to or use or disclosure of data that we store or handle as part of operating our business, could adversely affect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 care system that could prevent or delay marketing approval of product and therapeutic candidates, restrict or regulate post-approval activities, and affect the ability to profitably sell product and therapeutic candidates that obtain marketing approval. The FDA’s and other regulatory authorities’ policies may change and additional government regulations may be enacted that could prevent, limit or delay regulatory approval of our product and therapeutic candidates. In addition, future legislative and regulatory proposals may materially impact the ability of the FDA and other regulatory agencies to operate as they have historically operated. We cannot be sure whether additional legislative changes will be enacted, or whether any of the FDA’s regulations, guidance or interpretations will be changed, or what the impact of such changes on the agency and its scientific review staff, if any, may be. For example, the next FDA user fee reauthorization package is expected to enter stakeholder negotiations beginning in mid-2025, with any agreement sent to Congress in early 2027 for purposes of initiating the legislative process. Reauthorization of the prescription drug user fee program would need to be finalized by Congress by the end of September 2027 in order to avoid a disruption in FDA’s review goals for NDAs and other activities supported by user fees assessed against industry.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89"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and state governments and the prices of therapeutics have been a focus in this effort. The U.S. government, state legislatures and foreign governments have shown significant interest in implementing cost-containment programs to limit the growth of government-paid healthcare costs, including price controls, restrictions on reimbursement, and requirements for substitution of generic and biosimilar products for branded prescription medicines, respectively. In recent years, the U.S. Congress has considered reductions in Medicare reimbursement levels for medicines and biologics administered by physicians. CMS, the agency that administers the Medicare and Medicaid programs, also has authority to revise reimbursement rates and to implement coverage restrictions for most drugs and biologics. Cost reduction initiatives and changes in coverage implemented through legislation or regulation could decrease utilization of and reimbursement for any approved products we may market in the future. While Medicare regulations apply only to pharmaceutical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ACA, as amended by the Health Care and Education Affordability Reconciliation Act, was enacted in 2010 and substantially changed the way health care is financed by both governmental and private insurers in the United States, and significantly impacted the pharmaceutical industry. The ACA was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manufacturers, and impose additional health policy reforms. With regard to biopharmaceutical products, the ACA, among other things, addressed a new methodology by which rebates owed by manufacturers under the Medicaid Drug Rebate Program are calculated for therapeutics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on manufacturers of certain branded prescription medicines, created a new Medicare Part D coverage gap discount program, and expanded the 340B drug discount program. As another example, the 2021 Consolidated Appropriations Act signed into law on December 27, 2020 incorporated extensive health care provisions and amendments to existing laws, including a requirement that all manufacturers of medicines and biological products covered under Medicare Part B report the product’s average sales price, to the DHHS beginning on January 1, 2022, subject to enforcement via civil money penalties.</w:t>
      </w:r>
    </w:p>
    <w:p>
      <w:pPr>
        <w:spacing w:after="0" w:line="8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Legislative and regulatory changes under the ACA remain possible, but it is unknown what form any such changes or any law would take and how or whether it may affect the biopharmaceutical industry as a whole or our business in the future. We expect that changes or additions to the ACA, the Medicare and Medicaid programs and changes stemming from other healthcare reform measures, especially with regard to healthcare access, financing or other legislation in individual states, could have a material adverse effect on the healthcare industry in the United States.</w:t>
      </w:r>
    </w:p>
    <w:p>
      <w:pPr>
        <w:spacing w:after="0" w:line="72" w:lineRule="exact"/>
        <w:rPr>
          <w:sz w:val="20"/>
          <w:szCs w:val="20"/>
          <w:color w:val="auto"/>
        </w:rPr>
      </w:pPr>
    </w:p>
    <w:p>
      <w:pPr>
        <w:jc w:val="both"/>
        <w:ind w:right="380" w:firstLine="509"/>
        <w:spacing w:after="0" w:line="257" w:lineRule="auto"/>
        <w:rPr>
          <w:sz w:val="20"/>
          <w:szCs w:val="20"/>
          <w:color w:val="auto"/>
        </w:rPr>
      </w:pPr>
      <w:r>
        <w:rPr>
          <w:rFonts w:ascii="Times New Roman" w:cs="Times New Roman" w:eastAsia="Times New Roman" w:hAnsi="Times New Roman"/>
          <w:sz w:val="18"/>
          <w:szCs w:val="18"/>
          <w:color w:val="auto"/>
        </w:rPr>
        <w:t>In addition, there has been heightened governmental scrutiny over the manner in which biopharmaceutical manufacturers set prices for their marketed products. Such scrutiny has resulted in several recent U.S. Congressional inquiries and proposed and enacted federal and state legislation designed to, among other things, bring more transparency to medicine pricing, review the</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33" w:name="page34"/>
    <w:bookmarkEnd w:id="33"/>
    <w:p>
      <w:pPr>
        <w:ind w:right="40"/>
        <w:spacing w:after="0" w:line="253" w:lineRule="auto"/>
        <w:rPr>
          <w:sz w:val="20"/>
          <w:szCs w:val="20"/>
          <w:color w:val="auto"/>
        </w:rPr>
      </w:pPr>
      <w:r>
        <w:rPr>
          <w:rFonts w:ascii="Times New Roman" w:cs="Times New Roman" w:eastAsia="Times New Roman" w:hAnsi="Times New Roman"/>
          <w:sz w:val="18"/>
          <w:szCs w:val="18"/>
          <w:color w:val="auto"/>
        </w:rPr>
        <w:t>relationship between pricing and manufacturer patient programs, reduce the cost of medicines under Medicare, and reform government program reimbursement methodologies for pharmaceutical products. Notably, on December 20, 2019, the Further Consolidated Appropriations Act for 2020 became law (P.L. 116-94) and included a piece of bipartisan legislation called the Creating and Restoring Equal Access to Equivalent Samples Act of 2019 (the “CREATES Act”). The CREATES Act aims to address the concern articulated by both the FDA and others in the industry that some brand manufacturers have improperly restricted the distribution of their products, including by invoking the existence of a REMS for certain products, to deny generic and biosimilar product developers access to samples of brand products. Because generic and biosimilar product developers need samples to conduct certain comparative testing required by the FDA, some have attributed the inability to timely obtain samples as a cause of delay in the entry of generic and biosimilar products. To remedy this concern, the CREATES Act establishes a private cause of action that permits a generic or biosimilar product developer to sue the brand manufacturer to compel it to furnish the necessary samples on “commercially reasonable, market-based terms.” Although lawsuits have been filed under the CREATES Act since its enactment, those lawsuits have settled privately; therefore to date no federal court has reviewed or opined on the statutory language and there continues to be uncertainty regarding the scope and application of the law.</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More recently, in August 2022, the Inflation Reduction Act of 2022 (the “IRA”) became law. Among other things, the IRA has multiple provisions that may impact the prices of drug products that are both sold into the Medicare program and throughout the United States. For example, a manufacturer of a drug or biological product covered by Medicare Parts B or D must pay a rebate to the federal government if the drug product’s price increases faster than the rate of inflation. This calculation is made on a product by product basis and the amount of the rebate owed to the federal government is directly dependent on the volume of a drug product that is paid for by Medicare Parts B or D. Additionally, starting in payment year 2026, CMS will negotiate drug prices annually for a select number of single-source Part D drugs, including biologics that have been on the market for 13 years, without generic or biosimilar competition. CMS will also negotiate drug prices for a select number of Part B drugs, including biologics that have been on the market for 13 years, starting for payment year 2028. If a drug product is selected by CMS for negotiation, it is expected that the revenue generated from such drug will decrease. CMS has begun to implement these new authorities and entered into the first set of agreements with drug and biological product manufacturers for negotiated prices of 10 products, which will become applicable for payment year 2026. However, the IRA’s impact on the 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 Those lawsuits are currently ongoing.</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At the state level in the United States, legislatures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in recent years, several states have formed prescription drug affordability boards (“PDABs”). Much like the IRA’s drug price negotiation program, these PDABs have attempted to implement upper payment limits (“UPLs”) on drugs sold in their respective states in both public and commercial health plans. In August 2023, Colorado’s PDAB announced a list of five prescription drugs that would undergo an affordability review. The effects of these efforts remain uncertain pending the outcomes of several federal lawsuits challenging state authority to regulate prescription drug payment limits. Furthermore, in December 2020, the U.S. Supreme Court held unanimously that federal law does not preempt the states’ ability to regulate pharmaceutical benefit managers and other members of the healthcare and pharmaceutical supply chain, an important decision that may lead to further and more aggressive efforts by states in this area.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United States may affect the entire pharmaceutical supply chain and the business of other stakeholders, including biopharmaceutical developers like us.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executive action, either in the United States or abroad. 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cell-based regenerative therapies for which we may obtain regulatory approval. In the United States and markets in other countries, sales of any cell-based therapies for which we receive regulatory approval for commercial sale will depend, in part, on the availability of coverage and reimbursement from payors. Payors include government authorities, managed care providers, private health insurers and other organizations. Patients</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34" w:name="page35"/>
    <w:bookmarkEnd w:id="34"/>
    <w:p>
      <w:pPr>
        <w:ind w:right="20"/>
        <w:spacing w:after="0" w:line="254" w:lineRule="auto"/>
        <w:rPr>
          <w:sz w:val="20"/>
          <w:szCs w:val="20"/>
          <w:color w:val="auto"/>
        </w:rPr>
      </w:pPr>
      <w:r>
        <w:rPr>
          <w:rFonts w:ascii="Times New Roman" w:cs="Times New Roman" w:eastAsia="Times New Roman" w:hAnsi="Times New Roman"/>
          <w:sz w:val="18"/>
          <w:szCs w:val="18"/>
          <w:color w:val="auto"/>
        </w:rPr>
        <w:t>who are prescribed treatments for their conditions and providers who prescribe such treatments generally rely on these third-party payors to reimburse all or part of the treatment and other associated health care costs. The process for determining whether a payor will provide coverage for a medicine, device or biologic product may be separate from the process for setting the reimbursement rate that the payor will pay for the product. Payors may limit coverage to specific products on an approved list, or formulary, which might not include all of the FDA-approved products for a particular indication. A decision by a payor not to cover our cell-based therapies could reduce physician utilization of our products, if they are approved, and have a material adverse effect on our sales, results of operations and financial condition.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 and manufacturing costs.</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coverage and reimbursement for products can differ significantly from payor to payor. One payor’s decision to cover a particular medical product or service does not ensure that other payors will also provide coverage for the medical product or service, or will provide coverage at an adequate reimbursement rate. In the United States, the principal decisions about reimbursement for new medicines are typically made by CMS. CMS decides whether and to what extent a new medicine will be covered and reimbursed under Medicare and private payors tend to follow CMS to a substantial degree.</w:t>
      </w:r>
    </w:p>
    <w:p>
      <w:pPr>
        <w:spacing w:after="0" w:line="7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Additionally, the coverage determination process will require us to provide scientific and clinical support for the use of our products to each payor separately and will be a time-consuming process.</w:t>
      </w:r>
    </w:p>
    <w:p>
      <w:pPr>
        <w:spacing w:after="0" w:line="54"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Payors are increasingly challenging the price and examining the medical necessity and cost-effectiveness of medical products and services, in addition to their safety and efficacy. In order to obtain and maintain coverage and reimbursement for any product, we may need to conduct expensive evidence generation studies in order to demonstrate the medical necessity and cost-effectiveness of such a product, in addition to the costs required to obtain regulatory approvals. If payors do not consider a product to be cost-effective compared to current standards of care, they may not cover the product as a benefit under their plans or, if they do, the level of payment may not be sufficient to allow a company to cover its costs or make a profit.</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with the government authority. Furthermore, some countries may require the completion of additional studies that compare the effectiveness and/or cost-effectiveness of a particular therapy to current standards of care as part of so-called health technology assessments in order to obtain reimbursement or pricing approval. Additionally, there may be a need for activities to secure reimbursement for procedures associated with products administered in a hospital setting under the diagnosis-related group system, whereby a billing code may not exist or may be currently insufficient to cover the cost of the procedure. In other instances, countries may monitor and control product volumes and issue guidance to physicians to limit prescriptions in the form of treatment policies. Efforts to control prices and utilization of pharmaceutical products and medical devices will likely continue as countries attempt to manage health care expenditures.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08"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As of December 31, 2024, ProKidney had 204 full-time employees. This included 57 in research and development, 109 in manufacturing, operations, quality control and quality assurance, and 38 in general and administrative functions. We have no collective bargaining agreements with our employees, and we have not experienced any work stoppages. We consider our relations with our employees to be good.</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 and Directors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4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 w:type="dxa"/>
            <w:vAlign w:val="bottom"/>
          </w:tcPr>
          <w:p>
            <w:pPr>
              <w:spacing w:after="0"/>
              <w:rPr>
                <w:sz w:val="20"/>
                <w:szCs w:val="20"/>
                <w:color w:val="auto"/>
              </w:rPr>
            </w:pPr>
          </w:p>
        </w:tc>
        <w:tc>
          <w:tcPr>
            <w:tcW w:w="6840" w:type="dxa"/>
            <w:vAlign w:val="bottom"/>
            <w:tcBorders>
              <w:bottom w:val="single" w:sz="8" w:color="auto"/>
            </w:tcBorders>
          </w:tcPr>
          <w:p>
            <w:pPr>
              <w:ind w:left="31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80" w:type="dxa"/>
            <w:vAlign w:val="bottom"/>
            <w:shd w:val="clear" w:color="auto" w:fill="CFF0FC"/>
          </w:tcPr>
          <w:p>
            <w:pPr>
              <w:spacing w:after="0"/>
              <w:rPr>
                <w:sz w:val="18"/>
                <w:szCs w:val="18"/>
                <w:color w:val="auto"/>
              </w:rPr>
            </w:pPr>
          </w:p>
        </w:tc>
        <w:tc>
          <w:tcPr>
            <w:tcW w:w="6840" w:type="dxa"/>
            <w:vAlign w:val="bottom"/>
            <w:shd w:val="clear" w:color="auto" w:fill="CFF0FC"/>
          </w:tcPr>
          <w:p>
            <w:pPr>
              <w:spacing w:after="0"/>
              <w:rPr>
                <w:sz w:val="18"/>
                <w:szCs w:val="18"/>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Culleton, M.D.</w:t>
            </w:r>
          </w:p>
        </w:tc>
        <w:tc>
          <w:tcPr>
            <w:tcW w:w="280" w:type="dxa"/>
            <w:vAlign w:val="bottom"/>
          </w:tcPr>
          <w:p>
            <w:pPr>
              <w:spacing w:after="0"/>
              <w:rPr>
                <w:sz w:val="18"/>
                <w:szCs w:val="18"/>
                <w:color w:val="auto"/>
              </w:rPr>
            </w:pPr>
          </w:p>
        </w:tc>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James Coulston, CPA</w:t>
            </w:r>
          </w:p>
        </w:tc>
        <w:tc>
          <w:tcPr>
            <w:tcW w:w="280" w:type="dxa"/>
            <w:vAlign w:val="bottom"/>
            <w:shd w:val="clear" w:color="auto" w:fill="CFF0FC"/>
          </w:tcPr>
          <w:p>
            <w:pPr>
              <w:spacing w:after="0"/>
              <w:rPr>
                <w:sz w:val="18"/>
                <w:szCs w:val="18"/>
                <w:color w:val="auto"/>
              </w:rPr>
            </w:pPr>
          </w:p>
        </w:tc>
        <w:tc>
          <w:tcPr>
            <w:tcW w:w="6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C. Girolamo</w:t>
            </w:r>
          </w:p>
        </w:tc>
        <w:tc>
          <w:tcPr>
            <w:tcW w:w="280" w:type="dxa"/>
            <w:vAlign w:val="bottom"/>
          </w:tcPr>
          <w:p>
            <w:pPr>
              <w:spacing w:after="0"/>
              <w:rPr>
                <w:sz w:val="18"/>
                <w:szCs w:val="18"/>
                <w:color w:val="auto"/>
              </w:rPr>
            </w:pPr>
          </w:p>
        </w:tc>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16"/>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Darin J. Weber, Ph.D.</w:t>
            </w:r>
          </w:p>
        </w:tc>
        <w:tc>
          <w:tcPr>
            <w:tcW w:w="280" w:type="dxa"/>
            <w:vAlign w:val="bottom"/>
            <w:shd w:val="clear" w:color="auto" w:fill="CFF0FC"/>
          </w:tcPr>
          <w:p>
            <w:pPr>
              <w:spacing w:after="0"/>
              <w:rPr>
                <w:sz w:val="18"/>
                <w:szCs w:val="18"/>
                <w:color w:val="auto"/>
              </w:rPr>
            </w:pPr>
          </w:p>
        </w:tc>
        <w:tc>
          <w:tcPr>
            <w:tcW w:w="6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Chief Regulatory Officer, SVP, Regulatory Affairs, Quality, Biometrics &amp; Market Access</w:t>
            </w: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28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Pablo Legorreta</w:t>
            </w:r>
          </w:p>
        </w:tc>
        <w:tc>
          <w:tcPr>
            <w:tcW w:w="280" w:type="dxa"/>
            <w:vAlign w:val="bottom"/>
            <w:shd w:val="clear" w:color="auto" w:fill="CFF0FC"/>
          </w:tcPr>
          <w:p>
            <w:pPr>
              <w:spacing w:after="0"/>
              <w:rPr>
                <w:sz w:val="18"/>
                <w:szCs w:val="18"/>
                <w:color w:val="auto"/>
              </w:rPr>
            </w:pPr>
          </w:p>
        </w:tc>
        <w:tc>
          <w:tcPr>
            <w:tcW w:w="6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Chairman of the Board, Director</w:t>
            </w: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F. Doyle</w:t>
            </w:r>
          </w:p>
        </w:tc>
        <w:tc>
          <w:tcPr>
            <w:tcW w:w="280" w:type="dxa"/>
            <w:vAlign w:val="bottom"/>
          </w:tcPr>
          <w:p>
            <w:pPr>
              <w:spacing w:after="0"/>
              <w:rPr>
                <w:sz w:val="18"/>
                <w:szCs w:val="18"/>
                <w:color w:val="auto"/>
              </w:rPr>
            </w:pPr>
          </w:p>
        </w:tc>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Jennifer Fox</w:t>
            </w:r>
          </w:p>
        </w:tc>
        <w:tc>
          <w:tcPr>
            <w:tcW w:w="280" w:type="dxa"/>
            <w:vAlign w:val="bottom"/>
            <w:shd w:val="clear" w:color="auto" w:fill="CFF0FC"/>
          </w:tcPr>
          <w:p>
            <w:pPr>
              <w:spacing w:after="0"/>
              <w:rPr>
                <w:sz w:val="18"/>
                <w:szCs w:val="18"/>
                <w:color w:val="auto"/>
              </w:rPr>
            </w:pPr>
          </w:p>
        </w:tc>
        <w:tc>
          <w:tcPr>
            <w:tcW w:w="6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José Ignacio Jimenez Santos</w:t>
            </w:r>
          </w:p>
        </w:tc>
        <w:tc>
          <w:tcPr>
            <w:tcW w:w="280" w:type="dxa"/>
            <w:vAlign w:val="bottom"/>
          </w:tcPr>
          <w:p>
            <w:pPr>
              <w:spacing w:after="0"/>
              <w:rPr>
                <w:sz w:val="18"/>
                <w:szCs w:val="18"/>
                <w:color w:val="auto"/>
              </w:rPr>
            </w:pPr>
          </w:p>
        </w:tc>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Alan M. Lotvin, M.D.</w:t>
            </w:r>
          </w:p>
        </w:tc>
        <w:tc>
          <w:tcPr>
            <w:tcW w:w="280" w:type="dxa"/>
            <w:vAlign w:val="bottom"/>
            <w:shd w:val="clear" w:color="auto" w:fill="CFF0FC"/>
          </w:tcPr>
          <w:p>
            <w:pPr>
              <w:spacing w:after="0"/>
              <w:rPr>
                <w:sz w:val="18"/>
                <w:szCs w:val="18"/>
                <w:color w:val="auto"/>
              </w:rPr>
            </w:pPr>
          </w:p>
        </w:tc>
        <w:tc>
          <w:tcPr>
            <w:tcW w:w="6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J.G. Pereira, M.D.</w:t>
            </w:r>
          </w:p>
        </w:tc>
        <w:tc>
          <w:tcPr>
            <w:tcW w:w="280" w:type="dxa"/>
            <w:vAlign w:val="bottom"/>
          </w:tcPr>
          <w:p>
            <w:pPr>
              <w:spacing w:after="0"/>
              <w:rPr>
                <w:sz w:val="18"/>
                <w:szCs w:val="18"/>
                <w:color w:val="auto"/>
              </w:rPr>
            </w:pPr>
          </w:p>
        </w:tc>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Uma Sinha, Ph.D.</w:t>
            </w:r>
          </w:p>
        </w:tc>
        <w:tc>
          <w:tcPr>
            <w:tcW w:w="280" w:type="dxa"/>
            <w:vAlign w:val="bottom"/>
            <w:shd w:val="clear" w:color="auto" w:fill="CFF0FC"/>
          </w:tcPr>
          <w:p>
            <w:pPr>
              <w:spacing w:after="0"/>
              <w:rPr>
                <w:sz w:val="18"/>
                <w:szCs w:val="18"/>
                <w:color w:val="auto"/>
              </w:rPr>
            </w:pPr>
          </w:p>
        </w:tc>
        <w:tc>
          <w:tcPr>
            <w:tcW w:w="6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Available on the Internet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internet address is https://www.prokidney.com. We use our website as a routine channel for distribution of information that may be material to investors, including news releases, financial information, presentations and corporate governance information. This Annual Report on Form 10-K and our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(http://www.sec.gov) that contains reports, proxy and information statements, and other information regarding issuers that file electronically with the SEC. We include our web site address in this Annual Report only as an inactive textual reference. Information contained in or connected to our website does not constitute a part of, and is not incorporated by reference in, this report or our other filings with the SEC.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each of the following risk factors and all of the other information set forth in this Annual Report on Form 10-K, including the section titled “Management’s Discussion and Analysis of Financial Condition and Results of Operations” and our consolidated financial statements and related notes, and in other documents that we file with the SEC, in evaluating our company and our business. Investing in our securities involves a high degree of risk. If any of the following risks and uncertainties develop into actual events, these events could have a material adverse effect on our business, financial condition or results of operations and future growth prospects could be materially and adversely affected and the trading price of our Class A ordinary shares could decline. Our actual results could differ materially from those anticipated in the forward-looking statements as a result of factors that are described below and elsewhere in this Annual Report on Form 10-K.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inception and we expect to continue to incur significant net losses for the foreseeable future.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incurred significant net losses since our inception. We continue to incur significant research and development and other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our ongoing operations. For the years ended December 31, 2024, 2023 and 2022, we reported net losses before noncontrolling interest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$163.3 million, $135.4 million and $148.1 million, respectively. As of December 31, 2024 and 2023, we had an accumulated deficit of $1,200.8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$1,139.7 million, respectively. We have devoted substantially all of our resources and efforts to research and development, and we expect that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several years, if ever, before we generate revenue from product sales. Even if we receive marketing approval for, and commercialize our lead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 rilparencel, we expect that we will continue to incur substantial research and development and other expenses to develop and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potential product candidates.</w:t>
      </w:r>
    </w:p>
    <w:p>
      <w:pPr>
        <w:spacing w:after="0" w:line="9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Our product candidate, rilparencel, is still in clinical testing. We expect to continue to incur significant losses for the foreseeable future, and we anticipate that our expenses will increase substantially if, and as, we:</w:t>
      </w:r>
    </w:p>
    <w:p>
      <w:pPr>
        <w:spacing w:after="0" w:line="162" w:lineRule="exact"/>
        <w:rPr>
          <w:sz w:val="20"/>
          <w:szCs w:val="20"/>
          <w:color w:val="auto"/>
        </w:rPr>
      </w:pPr>
    </w:p>
    <w:p>
      <w:pPr>
        <w:ind w:left="1320" w:right="200" w:hanging="472"/>
        <w:spacing w:after="0" w:line="282" w:lineRule="auto"/>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rilparencel and any other future product candidates through clinical development, and, if successful, later-stage and confirmatory clinical trials;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6" w:name="page37"/>
    <w:bookmarkEnd w:id="36"/>
    <w:p>
      <w:pPr>
        <w:ind w:left="1320" w:hanging="472"/>
        <w:spacing w:after="0" w:line="266" w:lineRule="auto"/>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or interruptions to any future preclinical studies, our current clinical trials, our receipt of services from our third-party service providers on whom we rely, or our supply chain, including delays due to health crises or events or circumstances beyond our control;</w:t>
      </w:r>
    </w:p>
    <w:p>
      <w:pPr>
        <w:spacing w:after="0" w:line="17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future product candidates that may successfully complete clinical trials;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rilparencel and any future product candidates, if approved;</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amount of research and development activities to discover and develop product candidates and line extensions;</w:t>
      </w:r>
    </w:p>
    <w:p>
      <w:pPr>
        <w:spacing w:after="0" w:line="225" w:lineRule="exact"/>
        <w:rPr>
          <w:rFonts w:ascii="Times New Roman" w:cs="Times New Roman" w:eastAsia="Times New Roman" w:hAnsi="Times New Roman"/>
          <w:sz w:val="18"/>
          <w:szCs w:val="18"/>
          <w:color w:val="auto"/>
        </w:rPr>
      </w:pPr>
    </w:p>
    <w:p>
      <w:pPr>
        <w:ind w:left="1320" w:right="320" w:hanging="472"/>
        <w:spacing w:after="0" w:line="282" w:lineRule="auto"/>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the materials needed for clinical trials or, following receipt of necessary regulatory approvals, commercial sales, at our manufacturing facilities;</w:t>
      </w:r>
    </w:p>
    <w:p>
      <w:pPr>
        <w:spacing w:after="0" w:line="161" w:lineRule="exact"/>
        <w:rPr>
          <w:rFonts w:ascii="Times New Roman" w:cs="Times New Roman" w:eastAsia="Times New Roman" w:hAnsi="Times New Roman"/>
          <w:sz w:val="18"/>
          <w:szCs w:val="18"/>
          <w:color w:val="auto"/>
        </w:rPr>
      </w:pPr>
    </w:p>
    <w:p>
      <w:pPr>
        <w:ind w:left="1320" w:right="340" w:hanging="472"/>
        <w:spacing w:after="0" w:line="282" w:lineRule="auto"/>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validate commercial-scale cGMP manufacturing facilities and partner with Contract Development and Manufacturing Organizations (“CDMOs”);</w:t>
      </w:r>
    </w:p>
    <w:p>
      <w:pPr>
        <w:spacing w:after="0" w:line="161" w:lineRule="exact"/>
        <w:rPr>
          <w:rFonts w:ascii="Times New Roman" w:cs="Times New Roman" w:eastAsia="Times New Roman" w:hAnsi="Times New Roman"/>
          <w:sz w:val="18"/>
          <w:szCs w:val="18"/>
          <w:color w:val="auto"/>
        </w:rPr>
      </w:pPr>
    </w:p>
    <w:p>
      <w:pPr>
        <w:ind w:left="1320" w:right="860" w:hanging="472"/>
        <w:spacing w:after="0" w:line="282" w:lineRule="auto"/>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161" w:lineRule="exact"/>
        <w:rPr>
          <w:rFonts w:ascii="Times New Roman" w:cs="Times New Roman" w:eastAsia="Times New Roman" w:hAnsi="Times New Roman"/>
          <w:sz w:val="18"/>
          <w:szCs w:val="18"/>
          <w:color w:val="auto"/>
        </w:rPr>
      </w:pPr>
    </w:p>
    <w:p>
      <w:pPr>
        <w:ind w:left="1320" w:right="100" w:hanging="472"/>
        <w:spacing w:after="0" w:line="282" w:lineRule="auto"/>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executives in clinical development, regulatory, manufacturing, quality control, quality assurance, scientific, general and administrative and management personnel;</w:t>
      </w:r>
    </w:p>
    <w:p>
      <w:pPr>
        <w:spacing w:after="0" w:line="161" w:lineRule="exact"/>
        <w:rPr>
          <w:rFonts w:ascii="Times New Roman" w:cs="Times New Roman" w:eastAsia="Times New Roman" w:hAnsi="Times New Roman"/>
          <w:sz w:val="18"/>
          <w:szCs w:val="18"/>
          <w:color w:val="auto"/>
        </w:rPr>
      </w:pPr>
    </w:p>
    <w:p>
      <w:pPr>
        <w:ind w:left="1320" w:right="720" w:hanging="472"/>
        <w:spacing w:after="0" w:line="282" w:lineRule="auto"/>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and manufacturing efforts and general and administrative functions;</w:t>
      </w:r>
    </w:p>
    <w:p>
      <w:pPr>
        <w:spacing w:after="0" w:line="161" w:lineRule="exact"/>
        <w:rPr>
          <w:rFonts w:ascii="Times New Roman" w:cs="Times New Roman" w:eastAsia="Times New Roman" w:hAnsi="Times New Roman"/>
          <w:sz w:val="18"/>
          <w:szCs w:val="18"/>
          <w:color w:val="auto"/>
        </w:rPr>
      </w:pPr>
    </w:p>
    <w:p>
      <w:pPr>
        <w:ind w:left="1320" w:right="100" w:hanging="472"/>
        <w:spacing w:after="0" w:line="282" w:lineRule="auto"/>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domestic and global sales, marketing, medical affairs and distribution infrastructure to commercialize any products for which we may obtain marketing approval and intend to commercialize on our own or jointly with third parties;</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or in-license other technologies or product candidates.</w:t>
      </w:r>
    </w:p>
    <w:p>
      <w:pPr>
        <w:spacing w:after="0" w:line="333"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products with significant market potential. This will require us to be successful in a range of challenging activities, including completing nonclinical studies and clinical trials, obtaining marketing approval for rilparencel and any future product candidates, manufacturing, marketing and selling products for which we may obtain marketing approval and satisfying any post-marketing requirements. Because of the numerous risks and uncertainties associated with biopharmaceutical product development, we are unable to accurately predict the timing or amount of increased expenses or when, or if, we will be able to achieve profitability.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292" w:lineRule="exact"/>
        <w:rPr>
          <w:sz w:val="20"/>
          <w:szCs w:val="20"/>
          <w:color w:val="auto"/>
        </w:rPr>
      </w:pPr>
    </w:p>
    <w:p>
      <w:pPr>
        <w:jc w:val="both"/>
        <w:ind w:right="6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require substantial additional capital to finance our operations. If we are unable to raise such capital when needed, or on acceptable terms, we may be forced to delay, reduce and/or eliminate one or more of our research and product development programs, future commercialization efforts or other operations.</w:t>
      </w:r>
    </w:p>
    <w:p>
      <w:pPr>
        <w:spacing w:after="0" w:line="67"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Developing biopharmaceutical products, including conducting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ongoing and planned clinical trials of rilparencel and any future product candidates that we may develop, seek regulatory approvals for rilparencel and our future product candidates, and manufacture, launch and commercialize any products for which we receive regulatory approval. Accordingly, we will need to obtain substantial additional funding in order to maintain our continuing operations. If we are unable to raise capital when needed or on acceptable terms, we may be forced to delay, reduce or eliminate one or more of our research and product development programs or future commercialization efforts.</w:t>
      </w:r>
    </w:p>
    <w:p>
      <w:pPr>
        <w:spacing w:after="0" w:line="8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2024, we had approximately $358.3 million in cash, cash equivalents and short-term investments. Based on our current operating plan, we believe that our cash, cash equivalents and short-term investments will be sufficient to fund our operating expenses and capital expenditure requirements into mid-2027. However, this does not reflect the possibility that we may not be able to access a portion of our existing cash, cash equivalents and investments due to market conditions. If banks or other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Furthermore, our future capital requirements and the period for which our existing resources will support our operations may vary significantly from what we expect, and we will in any event require additional capital to complete clinical development of any of our current programs.</w:t>
      </w:r>
    </w:p>
    <w:p>
      <w:pPr>
        <w:spacing w:after="0" w:line="84"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Our monthly spending levels will vary based on new and ongoing development and corporate activities. Because the length of time and activities associated with development of rilparencel and any future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spacing w:after="0" w:line="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5" w:right="459" w:bottom="699" w:gutter="0" w:footer="0" w:header="0"/>
        </w:sectPr>
      </w:pPr>
    </w:p>
    <w:bookmarkStart w:id="37" w:name="page38"/>
    <w:bookmarkEnd w:id="37"/>
    <w:p>
      <w:pPr>
        <w:ind w:left="1320" w:hanging="472"/>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rilparencel and any future product candidates;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development plans we establish for these product candidates;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develop;</w:t>
      </w:r>
    </w:p>
    <w:p>
      <w:pPr>
        <w:spacing w:after="0" w:line="225" w:lineRule="exact"/>
        <w:rPr>
          <w:rFonts w:ascii="Times New Roman" w:cs="Times New Roman" w:eastAsia="Times New Roman" w:hAnsi="Times New Roman"/>
          <w:sz w:val="18"/>
          <w:szCs w:val="18"/>
          <w:color w:val="auto"/>
        </w:rPr>
      </w:pPr>
    </w:p>
    <w:p>
      <w:pPr>
        <w:ind w:left="1320" w:right="420" w:hanging="472"/>
        <w:spacing w:after="0" w:line="282" w:lineRule="auto"/>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and other comparable foreign regulatory authorities;</w:t>
      </w:r>
    </w:p>
    <w:p>
      <w:pPr>
        <w:spacing w:after="0" w:line="161" w:lineRule="exact"/>
        <w:rPr>
          <w:rFonts w:ascii="Times New Roman" w:cs="Times New Roman" w:eastAsia="Times New Roman" w:hAnsi="Times New Roman"/>
          <w:sz w:val="18"/>
          <w:szCs w:val="18"/>
          <w:color w:val="auto"/>
        </w:rPr>
      </w:pPr>
    </w:p>
    <w:p>
      <w:pPr>
        <w:ind w:left="1320" w:right="20" w:hanging="472"/>
        <w:spacing w:after="0" w:line="282" w:lineRule="auto"/>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able to enter into and maintain collaboration agreements, including the terms of and timing of payments under any such agreements;</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 rilparencel or any of our future product candidates;</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clinical, technological and market developments;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our own commercial-scale cGMP manufacturing facility;</w:t>
      </w:r>
    </w:p>
    <w:p>
      <w:pPr>
        <w:spacing w:after="0" w:line="225" w:lineRule="exact"/>
        <w:rPr>
          <w:rFonts w:ascii="Times New Roman" w:cs="Times New Roman" w:eastAsia="Times New Roman" w:hAnsi="Times New Roman"/>
          <w:sz w:val="18"/>
          <w:szCs w:val="18"/>
          <w:color w:val="auto"/>
        </w:rPr>
      </w:pPr>
    </w:p>
    <w:p>
      <w:pPr>
        <w:ind w:left="1320" w:right="220" w:hanging="472"/>
        <w:spacing w:after="0" w:line="282" w:lineRule="auto"/>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161" w:lineRule="exact"/>
        <w:rPr>
          <w:rFonts w:ascii="Times New Roman" w:cs="Times New Roman" w:eastAsia="Times New Roman" w:hAnsi="Times New Roman"/>
          <w:sz w:val="18"/>
          <w:szCs w:val="18"/>
          <w:color w:val="auto"/>
        </w:rPr>
      </w:pPr>
    </w:p>
    <w:p>
      <w:pPr>
        <w:ind w:left="1320" w:right="520" w:hanging="472"/>
        <w:spacing w:after="0" w:line="282" w:lineRule="auto"/>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rilparencel and any of our future product candidates for which we receive marketing approval; and</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333"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color w:val="auto"/>
        </w:rPr>
        <w:t>We currently do not have any committed external source of funds or other support for our development efforts, and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shareholders. Further, to the extent that we raise additional capital through the sale of ordinary shares or securities convertible or exchangeable into ordinary shares,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rilparencel and any future product candidates, technologies, future revenue streams or research programs or grant licenses on terms that may not be favorable to us. We also may be required to seek collaborators for rilparencel or any of our future product candidates at an earlier stage than otherwise would be desirable or relinquish our rights to rilparencel and any future product candidates or technologies that we otherwise would seek to develop or commercialize ourselves. Market volatility could also adversely impact our ability to access capital as and when needed. If we are unable to raise additional capital in sufficient amounts or on terms acceptable to us, we may have to significantly delay, scale back or discontinue the development or commercialization of rilparencel or any of our future product candidates or one or more of our other research and development initiatives. Any of the above events could significantly harm our business, prospects, financial condition and results of operations and cause the price of our ordinary shares to decline.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Research and Development of Rilparencel and Our Future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not generated any revenue to date, and may never become profitable.</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We have no products approved for commercial sale and have not generated any revenue. Our operations to date have been limited to organizing and staffing our company, business planning, raising capital, undertaking nonclinical studies, conducting clinical trials, developing a network of key opinion leaders, and performing research and development of rilparencel. Our approach to the discovery and development of product candidates is unproven, and we do not know whether we will be able to develop any products of commercial value. Rilparencel and any other product candidates we develop will require substantial additional development and clinical research time and resources before we would be able to apply for or receive regulatory approvals and begin generating revenue from product sales. We have not yet demonstrated the ability to progress any product candidate through later-stage clinical trials leading to successful marketing authorization. We may be unable to obtain regulatory approval, manufacture a commercial scale product, or arrange for a third party to do so on our behalf, achieve market access, and acceptance with insurers and health care providers, or conduct sales and marketing activities necessary for successful product commercialization.</w:t>
      </w:r>
    </w:p>
    <w:p>
      <w:pPr>
        <w:spacing w:after="0" w:line="86" w:lineRule="exact"/>
        <w:rPr>
          <w:sz w:val="20"/>
          <w:szCs w:val="20"/>
          <w:color w:val="auto"/>
        </w:rPr>
      </w:pPr>
    </w:p>
    <w:p>
      <w:pPr>
        <w:ind w:right="300" w:firstLine="509"/>
        <w:spacing w:after="0" w:line="254"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If and when one of our product candidates were to receive regulatory approval, we would need to transition from a company with a research and development focus to a company capable of supporting commercial activities. We may not be successful in such a transition. In addition, as a business with a limited</w:t>
      </w:r>
    </w:p>
    <w:p>
      <w:pPr>
        <w:spacing w:after="0" w:line="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1201" w:right="479" w:bottom="267"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61" w:lineRule="auto"/>
        <w:rPr>
          <w:sz w:val="20"/>
          <w:szCs w:val="20"/>
          <w:color w:val="auto"/>
        </w:rPr>
      </w:pPr>
      <w:r>
        <w:rPr>
          <w:rFonts w:ascii="Times New Roman" w:cs="Times New Roman" w:eastAsia="Times New Roman" w:hAnsi="Times New Roman"/>
          <w:sz w:val="18"/>
          <w:szCs w:val="18"/>
          <w:color w:val="auto"/>
        </w:rPr>
        <w:t>operating history, we may encounter unforeseen expenses, difficulties, complications, delays and other known and unknown factors and risks frequently experienced by early-stage biopharmaceutical companies in rapidly evolving and complex fields. Consequently, we have no meaningful history of operations upon which to evaluate our business, and predictions about our future success or viability may not be as accurate as they could be if we had a longer operating history or a history of successfully developing and commercializing medical products.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Due to the uncertainties and risks associated with these activities, we are unable to accurately and precisely predict the timing and amount of revenues, the extent of any further losses or if or when we might achieve profitability. We may never succeed in these activities and, even if we succeed in commercializing one or more of our product candidates, we may never generate revenue that is significant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Our failure to become and remain profitable could decrease the value of our shares and impair our ability to raise capital, maintain our research and development efforts, expand our business or continue our operations.</w:t>
      </w:r>
    </w:p>
    <w:p>
      <w:pPr>
        <w:spacing w:after="0" w:line="29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biologics and for the treatment of kidney disease is highly competitive. If we fail to effectively compete, our business, financial condition and operating results will suffer.</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face significant competition in the biologics market and in the area of treatment of kidney disease. We face competition from companies that develop and manufacture cell therapies, including major and specialty pharmaceutical and biotechnology companies, developers of tubular and glomerular cell drug modulators, antifibrosis medications, induced pluripotent cells, other autologous mesenchymal stem cells and mechanical renal assist devices such as implantable and wearable renal dialysis machines, and advances in peritoneal dialysis and home dialysis. Cell-based clinical trials by other companies are underway globally with umbilical, adipose and bone marrow derived mesenchymal stem cells for CKD. Early-phase human induced pluripotent stem cell therapies for kidney diseases are ongoing in Japan. We believe that our principal competitors include developers of SGLT2 inhibitors and MRAs, which are small-molecule therapies recently approved to lower risks of CKD progression.</w:t>
      </w:r>
    </w:p>
    <w:p>
      <w:pPr>
        <w:spacing w:after="0" w:line="8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Many of our current competitors may have competitive advantages over us, including significantly greater financial resources and expertise in research and development, preclinical testing, clinical trials, manufacturing and marketing than we have.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the principal competitive factors in our target markets include:</w:t>
      </w:r>
    </w:p>
    <w:p>
      <w:pPr>
        <w:spacing w:after="0" w:line="225" w:lineRule="exact"/>
        <w:rPr>
          <w:sz w:val="20"/>
          <w:szCs w:val="20"/>
          <w:color w:val="auto"/>
        </w:rPr>
      </w:pPr>
    </w:p>
    <w:p>
      <w:pPr>
        <w:ind w:left="1320" w:hanging="472"/>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including sensitivity and specificity, and reproducibility of results;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among customers;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in offerings or products, if approved;</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safety profile;</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promotional support;</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protection;</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patient population; and</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of dosing and administration.</w:t>
      </w:r>
    </w:p>
    <w:p>
      <w:pPr>
        <w:spacing w:after="0" w:line="33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Even if approved, our products may not compete favorably or may not be successful in the face of increasing competition from new products and technologies introduced by existing competitors or new companies entering our target markets. Notably, we may face additional competition from GLP-1 agonists approved for type 2 diabetes, obesity, and most recently kidney disease (Ozempic® was approved in January 2025 for kidney disease), which have shown to reduce mortality in patients with advanced-stage CKD and ESRD, slow the progression of CKD and may lead to long term weight loss. Ongoing and increased adoption of GLP-1 agonists or other new or innovative technologies, drugs or other treatments have the potential to impact the rate of growth of our intended patient population or decrease the size of our addressable market. Any sustained or significant decline in the rate of growth of our intended patient population or demand for our products, whether as a result of developments related to new or innovative technologies, drugs, treatments or otherwise, may adversely impact our business. In addition, our competitors may have or develop products or technologies that currently or in the future will enable them to produce competitive products with greater capabilities or at lower costs than ours. Any failure to compete effectively could materially and adversely affect our business, financial condition and operating results.</w:t>
      </w:r>
    </w:p>
    <w:p>
      <w:pPr>
        <w:spacing w:after="0" w:line="298"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our lead product candidate, rilparencel, as well as any other future product candidates that we may advance into clinical development. Rilparencel and our future product candidates will require significant additional clinical development and funding before we may be able to seek regulatory approval for and launch a product commercially.</w:t>
      </w:r>
    </w:p>
    <w:p>
      <w:pPr>
        <w:spacing w:after="0" w:line="67"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currently have no products that are approved for commercial sale and may never be able to develop marketable products. Rilparencel, our lead product candidate, is in Phase 3 clinical development. We cannot offer any assurances or predict with any</w:t>
      </w:r>
    </w:p>
    <w:p>
      <w:pPr>
        <w:jc w:val="center"/>
        <w:ind w:right="-2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40" w:name="page41"/>
    <w:bookmarkEnd w:id="40"/>
    <w:p>
      <w:pPr>
        <w:ind w:right="120"/>
        <w:spacing w:after="0" w:line="255" w:lineRule="auto"/>
        <w:rPr>
          <w:sz w:val="20"/>
          <w:szCs w:val="20"/>
          <w:color w:val="auto"/>
        </w:rPr>
      </w:pPr>
      <w:r>
        <w:rPr>
          <w:rFonts w:ascii="Times New Roman" w:cs="Times New Roman" w:eastAsia="Times New Roman" w:hAnsi="Times New Roman"/>
          <w:sz w:val="18"/>
          <w:szCs w:val="18"/>
          <w:color w:val="auto"/>
        </w:rPr>
        <w:t>certainty that such Phase 3 clinical development will be successfully completed, that positive clinical data will be obtained from such Phase 3 clinical development efforts or that regulatory authorities will grant marketing approval for rilparencel, in any such case on the expected timelines. Furthermore, regulatory approvals for rilparencel, even if obtained, may limit the type of patients in which rilparencel may be used for CKD or otherwise require specific warning or labeling language, each of which may reduce the commercial potential of rilparencel. Even if approved, we might not be successful in commercializing rilparencel. Should we fail to obtain regulatory approvals for rilparencel or fail to successfully commercialize rilparencel upon such regulatory approvals, our business and financial condition could be materially harmed and we may be more heavily dependent on the success of our other therapeutic programs.</w:t>
      </w:r>
    </w:p>
    <w:p>
      <w:pPr>
        <w:spacing w:after="0" w:line="8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As an organization, we have not previously conducted any later stage or pivotal clinical trials, have limited experience in preparing, submitting and pursuing regulatory filings and have not previously submitted a BLA for any product candidate. Before we can generate any revenue from sales of our lead product candidate, rilparencel, or any of our future product candidates, we must complete clinical development, regulatory review and approval in one or more jurisdictions. We also need to obtain substantial additional funding to support our continuing operations and pursue our growth strategy. In addition, if rilparencel or any of our future product candidates is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rilparencel or any of our future product candidates.</w:t>
      </w:r>
    </w:p>
    <w:p>
      <w:pPr>
        <w:spacing w:after="0" w:line="8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setbacks that could delay or prevent regulatory approval of, or our ability to commercialize, rilparencel and any of our future product candidates, including:</w:t>
      </w:r>
    </w:p>
    <w:p>
      <w:pPr>
        <w:spacing w:after="0" w:line="162" w:lineRule="exact"/>
        <w:rPr>
          <w:sz w:val="20"/>
          <w:szCs w:val="20"/>
          <w:color w:val="auto"/>
        </w:rPr>
      </w:pPr>
    </w:p>
    <w:p>
      <w:pPr>
        <w:ind w:left="1320" w:hanging="472"/>
        <w:spacing w:after="0" w:line="266" w:lineRule="auto"/>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or positive results from the clinical trials of others for product candidates similar to ours leading to their approval, leading to a decision or requirement to conduct additional preclinical testing or clinical trials or to abandon a program;</w:t>
      </w:r>
    </w:p>
    <w:p>
      <w:pPr>
        <w:spacing w:after="0" w:line="175" w:lineRule="exact"/>
        <w:rPr>
          <w:rFonts w:ascii="Times New Roman" w:cs="Times New Roman" w:eastAsia="Times New Roman" w:hAnsi="Times New Roman"/>
          <w:sz w:val="18"/>
          <w:szCs w:val="18"/>
          <w:color w:val="auto"/>
        </w:rPr>
      </w:pPr>
    </w:p>
    <w:p>
      <w:pPr>
        <w:ind w:left="1320" w:right="40" w:hanging="472"/>
        <w:spacing w:after="0" w:line="266" w:lineRule="auto"/>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or adverse events experienced by patients or subjects in our clinical trials or by individuals using medicines or therapeutics that we, the FDA, other regulators or others view as relevant to the development of rilparencel or any of our future product candidates;</w:t>
      </w:r>
    </w:p>
    <w:p>
      <w:pPr>
        <w:spacing w:after="0" w:line="175" w:lineRule="exact"/>
        <w:rPr>
          <w:rFonts w:ascii="Times New Roman" w:cs="Times New Roman" w:eastAsia="Times New Roman" w:hAnsi="Times New Roman"/>
          <w:sz w:val="18"/>
          <w:szCs w:val="18"/>
          <w:color w:val="auto"/>
        </w:rPr>
      </w:pPr>
    </w:p>
    <w:p>
      <w:pPr>
        <w:ind w:left="1320" w:right="100" w:hanging="472"/>
        <w:spacing w:after="0" w:line="282" w:lineRule="auto"/>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161" w:lineRule="exact"/>
        <w:rPr>
          <w:rFonts w:ascii="Times New Roman" w:cs="Times New Roman" w:eastAsia="Times New Roman" w:hAnsi="Times New Roman"/>
          <w:sz w:val="18"/>
          <w:szCs w:val="18"/>
          <w:color w:val="auto"/>
        </w:rPr>
      </w:pPr>
    </w:p>
    <w:p>
      <w:pPr>
        <w:ind w:left="1320" w:right="240" w:hanging="472"/>
        <w:spacing w:after="0" w:line="282" w:lineRule="auto"/>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regarding the scope and design of our clinical trials, including our clinical endpoints, and any requirement for additional confirmatory trials;</w:t>
      </w:r>
    </w:p>
    <w:p>
      <w:pPr>
        <w:spacing w:after="0" w:line="161" w:lineRule="exact"/>
        <w:rPr>
          <w:rFonts w:ascii="Times New Roman" w:cs="Times New Roman" w:eastAsia="Times New Roman" w:hAnsi="Times New Roman"/>
          <w:sz w:val="18"/>
          <w:szCs w:val="18"/>
          <w:color w:val="auto"/>
        </w:rPr>
      </w:pPr>
    </w:p>
    <w:p>
      <w:pPr>
        <w:ind w:left="1320" w:right="340" w:hanging="472"/>
        <w:spacing w:after="0" w:line="282" w:lineRule="auto"/>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subjects in clinical trials and completion of clinical trials, including under the FDA’s GCPs, the guidelines from International Conference on Harmonization (“ICH Guidelines”), GLP, and cGTPs;</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compliance with regulatory requirements, including cGMPs, and complying effectively with other procedures;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subjects from clinical trials;</w:t>
      </w:r>
    </w:p>
    <w:p>
      <w:pPr>
        <w:spacing w:after="0" w:line="225" w:lineRule="exact"/>
        <w:rPr>
          <w:rFonts w:ascii="Times New Roman" w:cs="Times New Roman" w:eastAsia="Times New Roman" w:hAnsi="Times New Roman"/>
          <w:sz w:val="18"/>
          <w:szCs w:val="18"/>
          <w:color w:val="auto"/>
        </w:rPr>
      </w:pPr>
    </w:p>
    <w:p>
      <w:pPr>
        <w:ind w:left="1320" w:right="120" w:hanging="472"/>
        <w:spacing w:after="0" w:line="282" w:lineRule="auto"/>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rilparencel or our future product candidates or other materials necessary for the conduct of our clinical trials;</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compete with other therapies;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efficacy of rilparencel or our future product candidates during clinical trials;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results taking longer than anticipated;</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trials being subjected to fraud or data capture failure or other technical mishaps leading to the invalidation of our trial results;</w:t>
      </w:r>
    </w:p>
    <w:p>
      <w:pPr>
        <w:spacing w:after="0" w:line="225" w:lineRule="exact"/>
        <w:rPr>
          <w:rFonts w:ascii="Times New Roman" w:cs="Times New Roman" w:eastAsia="Times New Roman" w:hAnsi="Times New Roman"/>
          <w:sz w:val="18"/>
          <w:szCs w:val="18"/>
          <w:color w:val="auto"/>
        </w:rPr>
      </w:pPr>
    </w:p>
    <w:p>
      <w:pPr>
        <w:ind w:left="1320" w:right="240" w:hanging="472"/>
        <w:spacing w:after="0" w:line="282" w:lineRule="auto"/>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trials not supporting application for conditional approval in the European Union, the Asia-Pacific region, and Latin America;</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225" w:lineRule="exact"/>
        <w:rPr>
          <w:rFonts w:ascii="Times New Roman" w:cs="Times New Roman" w:eastAsia="Times New Roman" w:hAnsi="Times New Roman"/>
          <w:sz w:val="18"/>
          <w:szCs w:val="18"/>
          <w:color w:val="auto"/>
        </w:rPr>
      </w:pPr>
    </w:p>
    <w:p>
      <w:pPr>
        <w:ind w:left="1320" w:right="560" w:hanging="472"/>
        <w:spacing w:after="0" w:line="282" w:lineRule="auto"/>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296" w:lineRule="exact"/>
        <w:rPr>
          <w:rFonts w:ascii="Times New Roman" w:cs="Times New Roman" w:eastAsia="Times New Roman" w:hAnsi="Times New Roman"/>
          <w:sz w:val="18"/>
          <w:szCs w:val="18"/>
          <w:color w:val="auto"/>
        </w:rPr>
      </w:pPr>
    </w:p>
    <w:p>
      <w:pPr>
        <w:ind w:left="1320" w:right="500" w:hanging="472"/>
        <w:spacing w:after="0" w:line="282" w:lineRule="auto"/>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development generally or with respect to our technology in particular;</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Health Technology Assessment (“HTA”) procedures with governmental authorities;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policy level review of rilparencel by CMS;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on our other ongoing or future programs;</w:t>
      </w:r>
    </w:p>
    <w:p>
      <w:pPr>
        <w:sectPr>
          <w:pgSz w:w="11900" w:h="16838" w:orient="portrait"/>
          <w:cols w:equalWidth="0" w:num="1">
            <w:col w:w="11100"/>
          </w:cols>
          <w:pgMar w:left="320" w:top="1093" w:right="479" w:bottom="0" w:gutter="0" w:footer="0" w:header="0"/>
        </w:sectPr>
      </w:pPr>
    </w:p>
    <w:bookmarkStart w:id="41" w:name="page42"/>
    <w:bookmarkEnd w:id="41"/>
    <w:p>
      <w:pPr>
        <w:ind w:left="480" w:hanging="472"/>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scientific discovery and technology of cell-based therapies and bioprocessing; or</w:t>
      </w:r>
    </w:p>
    <w:p>
      <w:pPr>
        <w:spacing w:after="0" w:line="225" w:lineRule="exact"/>
        <w:rPr>
          <w:rFonts w:ascii="Times New Roman" w:cs="Times New Roman" w:eastAsia="Times New Roman" w:hAnsi="Times New Roman"/>
          <w:sz w:val="18"/>
          <w:szCs w:val="18"/>
          <w:color w:val="auto"/>
        </w:rPr>
      </w:pPr>
    </w:p>
    <w:p>
      <w:pPr>
        <w:ind w:left="480" w:hanging="472"/>
        <w:spacing w:after="0" w:line="282" w:lineRule="auto"/>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obsolescence of manufacturing automation which could require a re-design of parts or equipment to ensure quality replacement component, the delays of which could cause significant delays in manufacturing and loss of sales.</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60"/>
          </w:cols>
          <w:pgMar w:left="1160" w:top="94" w:right="1079" w:bottom="1440" w:gutter="0" w:footer="0" w:header="0"/>
        </w:sectPr>
      </w:pPr>
    </w:p>
    <w:bookmarkStart w:id="42" w:name="page43"/>
    <w:bookmarkEnd w:id="42"/>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28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Rilparencel is based on a novel technology, which makes it difficult to predict the time and cost of product development and of subsequently obtaining regulatory approval.</w:t>
      </w:r>
    </w:p>
    <w:p>
      <w:pPr>
        <w:spacing w:after="0" w:line="37"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clinical trial requirements of the FDA and regulatory authorities in other jurisdictions,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Regulatory requirements in the United States and in other countries governing cell therapy products are evolving and the FDA or other regulatory bodies may change the requirements, or identify different regulatory pathways, for approval for rilparencel or any of our future product candidates. For example, the FDA has established the Office of Tissues and Advanced Therapies within the Center for Biologics Evaluation and Research (“CBER”) to consolidate the review of cell therapy and related products, and has established the Cellular, Tissue and Gene Therapies Advisory Committee to advise CBER in its review when called upon. It is possible that over time new or different divisions may be established or be granted the responsibility for regulating cell therapy products, including regenerative cell-based products, such as ours. Further, additional regulatory involvement from FDA advisory bodies, including the Cardio-Renal Advisory Committee, may delay review or make additional recommendations requiring further investigation. As a result, we may be required to change our regulatory strategy or to modify our applications for regulatory approval, which could delay and impair our ability to complete the nonclinical and clinical development and manufacture of, and obtain regulatory approval for, rilparencel or any future product candidates. Changes in regulatory authorities and advisory groups, or any new requirements or guidelines they promulgate, may lengthen the regulatory review process, require us to perform additional studies, increase our development and manufacturing costs, lead to changes in regulatory pathways, positions and interpretations, delay or prevent approval and commercialization of rilparencel or any future product candidates or lead to significant post-approval limitations or restrictions.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concentrated our research and development efforts on utilizing regenerative renal cell-based therapies. To date, the FDA has approved a relatively small number of cell-based therapies for commercialization, and no regenerative renal-based cell therapy has been approved for commercial use by any regulatory authority. The processes and requirements imposed by the FDA or other applicable regulatory authorities may cause delays and additional costs in obtaining approvals for marketing authorization for rilparencel or any future product candidates. Because our platform is novel, and cell-based therapies are relatively new, regulatory agencies may lack experience in evaluating product candidates like rilparencel. This novelty may lengthen the regulatory review process, including the time it takes for the FDA to review our IND applications if and when submitted, increase our development costs and delay or prevent commercialization of rilparencel. Additionally, advancing novel CKD therapies creates significant challenges for us, including:</w:t>
      </w:r>
    </w:p>
    <w:p>
      <w:pPr>
        <w:spacing w:after="0" w:line="192" w:lineRule="exact"/>
        <w:rPr>
          <w:sz w:val="20"/>
          <w:szCs w:val="20"/>
          <w:color w:val="auto"/>
        </w:rPr>
      </w:pPr>
    </w:p>
    <w:p>
      <w:pPr>
        <w:ind w:left="1320" w:right="540" w:hanging="472"/>
        <w:spacing w:after="0" w:line="282" w:lineRule="auto"/>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side-effect profile of rilparencel and, as the clinical development program progresses, on observed side effects with rilparencel;</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medical personnel on the proper use and delivery of rilparencel;</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enrolling sufficient numbers of subjects in clinical trials; and</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develop a manufacturing process to support the clinical development of rilparencel.</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must be able to overcome these challenges in order for us to develop, commercialize and manufacture rilparencel.</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we advance rilparencel, we will be required to consult with the FDA and other regulatory authorities, and rilparencel will likely be reviewed by an FDA advisory committee. We also must comply with applicable requirements, and if we fail to do so, we may be required to delay or discontinue development of rilparencel. Delays or unexpected costs in obtaining, or the failure to obtain, the regulatory approval necessary to bring a potential product to market could impair our ability to generate sufficient product revenues to maintain our business.</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adverse developments in preclinical studies or clinical trials conducted by others in the field of cell therapy products may cause the FDA and other regulatory bodies to revise the requirements for approval of any product candidates we may develop, and may otherwise negatively affect our ability to develop and commercialize rilparencel or future product candidates.</w:t>
      </w:r>
    </w:p>
    <w:p>
      <w:pPr>
        <w:spacing w:after="0" w:line="68"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The regulatory review committees and advisory groups described above and the new guidelines they promulgate may lengthen the regulatory review process, require us to perform additional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w:t>
      </w:r>
    </w:p>
    <w:p>
      <w:pPr>
        <w:spacing w:after="0" w:line="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93" w:right="639" w:bottom="1440" w:gutter="0" w:footer="0" w:header="0"/>
        </w:sectPr>
      </w:pPr>
    </w:p>
    <w:bookmarkStart w:id="43" w:name="page44"/>
    <w:bookmarkEnd w:id="43"/>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complex and expensive process, with an uncertain outcome, and the results of nonclinical studies, previous clinical trials, or interim results of ongoing clinical trials of rilparencel and any of our future product candidates may not be predictive of future results. Further, we may encounter substantial delays in completing the development of rilparencel and any of our future product candidates.</w:t>
      </w:r>
    </w:p>
    <w:p>
      <w:pPr>
        <w:spacing w:after="0" w:line="67" w:lineRule="exact"/>
        <w:rPr>
          <w:sz w:val="20"/>
          <w:szCs w:val="20"/>
          <w:color w:val="auto"/>
        </w:rPr>
      </w:pPr>
    </w:p>
    <w:p>
      <w:pPr>
        <w:ind w:right="220" w:firstLine="509"/>
        <w:spacing w:after="0" w:line="253" w:lineRule="auto"/>
        <w:rPr>
          <w:sz w:val="20"/>
          <w:szCs w:val="20"/>
          <w:color w:val="auto"/>
        </w:rPr>
      </w:pPr>
      <w:r>
        <w:rPr>
          <w:rFonts w:ascii="Times New Roman" w:cs="Times New Roman" w:eastAsia="Times New Roman" w:hAnsi="Times New Roman"/>
          <w:sz w:val="18"/>
          <w:szCs w:val="18"/>
          <w:color w:val="auto"/>
        </w:rPr>
        <w:t>Our product candidate, rilparencel, is in clinical development, and its risk of failure is high. The clinical trials, manufacturing and marketing of rilparencel or any of our future product candidates, if approved, are and will continue to be subject to extensive and rigorous review and regulation by numerous government authorities in the United States and in other countries where we intend to test and market rilparencel and any of our future product candidates. Before obtaining regulatory approvals for the commercial sale of rilparencel or any of our future product candidates, we must demonstrate through lengthy, complex and expensive testing and clinical trials that our product candidates are both safe and effective for use in each target indication. In particular, because rilparencel is subject to regulation as a biological product, we will need to demonstrate that it is safe, pure and potent for use in its target indication and lacks latent untoward cell effects. Rilparencel and any other product candidate we may develop must demonstrate an adequate risk versus benefit profile in its intended patient population and for its intended use. The process of administration of rilparencel involves taking a small biopsy of tissue from the kidney. The risks associated with a biopsy include bleeding, pain, hematoma, or bruising, scarring, and infarcts, or loss of blood supply resulting in loss of function.</w:t>
      </w:r>
    </w:p>
    <w:p>
      <w:pPr>
        <w:spacing w:after="0" w:line="86"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In particular, the general approach for FDA approval of a new therapeutic modality typically includes dispositive data from two adequate and well-controlled clinical trials of the relevant product in the relevant patient population, although in certain cases, the agency may determine that a single adequate and well-controlled trial with confirmatory evidence is sufficient to establish effectiveness and support approval for the target indication. Our Phase 3 development program may have significant costs and take years to complete. A product candidate can fail at any stage of testing, even after observing promising signals of activity in earlier nonclinical studies or clinical trials. The outcome of nonclinical studies and early clinical trials of rilparencel and our future product candidates may not be predictive of the success of the Phase 3 registrational development program, and interim results of a clinical trial do not necessarily predict final results.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nonclinical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therapeutic products and there can be no assurance that any of our future clinical trials will ultimately be successful or support further clinical development of rilparencel or any of our future product candidates. Product candidates and delivery methods for cellular therapeutics and tissue engineered products that appear promising in the early phases of development may fail to reach the market for several reasons, including:</w:t>
      </w:r>
    </w:p>
    <w:p>
      <w:pPr>
        <w:spacing w:after="0" w:line="196" w:lineRule="exact"/>
        <w:rPr>
          <w:sz w:val="20"/>
          <w:szCs w:val="20"/>
          <w:color w:val="auto"/>
        </w:rPr>
      </w:pPr>
    </w:p>
    <w:p>
      <w:pPr>
        <w:ind w:left="1320" w:hanging="472"/>
        <w:spacing w:after="0" w:line="266" w:lineRule="auto"/>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or preclinical studies or clinical trials may show the product candidates to be less effective than expected (e.g., a clinical trial could fail to meet its primary endpoint(s)) or to have unacceptable side effects or toxicities associated with the product or delivery method;</w:t>
      </w:r>
    </w:p>
    <w:p>
      <w:pPr>
        <w:spacing w:after="0" w:line="17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clinical endpoints that applicable regulatory authorities would consider clinically meaningful and relevant;</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w:t>
      </w:r>
    </w:p>
    <w:p>
      <w:pPr>
        <w:spacing w:after="0" w:line="225" w:lineRule="exact"/>
        <w:rPr>
          <w:rFonts w:ascii="Times New Roman" w:cs="Times New Roman" w:eastAsia="Times New Roman" w:hAnsi="Times New Roman"/>
          <w:sz w:val="18"/>
          <w:szCs w:val="18"/>
          <w:color w:val="auto"/>
        </w:rPr>
      </w:pPr>
    </w:p>
    <w:p>
      <w:pPr>
        <w:ind w:left="1320" w:right="140" w:hanging="472"/>
        <w:spacing w:after="0" w:line="282" w:lineRule="auto"/>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costs, formulation issues, pricing or reimbursement issues, mechanism of action, logistical constraints or other factors that make a product candidate uneconomical; and</w:t>
      </w:r>
    </w:p>
    <w:p>
      <w:pPr>
        <w:spacing w:after="0" w:line="161" w:lineRule="exact"/>
        <w:rPr>
          <w:rFonts w:ascii="Times New Roman" w:cs="Times New Roman" w:eastAsia="Times New Roman" w:hAnsi="Times New Roman"/>
          <w:sz w:val="18"/>
          <w:szCs w:val="18"/>
          <w:color w:val="auto"/>
        </w:rPr>
      </w:pPr>
    </w:p>
    <w:p>
      <w:pPr>
        <w:ind w:left="1320" w:right="260" w:hanging="472"/>
        <w:spacing w:after="0" w:line="282" w:lineRule="auto"/>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and their competing products and technologies that may prevent one of our product candidates from being commercialized.</w:t>
      </w:r>
    </w:p>
    <w:p>
      <w:pPr>
        <w:spacing w:after="0" w:line="270"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marketing approval of their products. Additionally, our earlier stage trials are open-label studies, where both the subject and investigator know whether the subject is receiving rilparencel or standard of care therapy. Most typically, open-label clinical trials test only the investigational product candidate and sometimes do so at different dose levels. Open-label clinical trials are subject to various limitations and biases that may exaggerate any therapeutic effect as subjects in open-label clinical trials are aware when they are receiving treatment. In addition, open-label clinical trials may be subject to an “investigator bias” where those assessing and reviewing the physiological outcomes of the clinical trials are aware of which subjects have received treatment and may interpret the information of the treated group more favorably given this knowledge. Given that our earlier stage trials include an open-label dosing design, while we believe our trials utilize objective assessment measures for measuring our endpoints and therefore are unlikely to be influenced in any manner by subject or investigator bias, it is unknown whether the open-label design may not be predictive of future clinical trial results with this or other product candidates for which we conduct an open-label clinical trial when studied in a controlled environment or with only objective endpoints.</w:t>
      </w:r>
    </w:p>
    <w:p>
      <w:pPr>
        <w:spacing w:after="0" w:line="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305" w:right="559" w:bottom="1440" w:gutter="0" w:footer="0" w:header="0"/>
        </w:sectPr>
      </w:pPr>
    </w:p>
    <w:bookmarkStart w:id="44" w:name="page45"/>
    <w:bookmarkEnd w:id="44"/>
    <w:p>
      <w:pPr>
        <w:spacing w:after="0" w:line="65"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Furthermore, the standards that the FDA and comparable foreign regulatory authorities use when regulating products like rilparencel require judgment and may change over time, which makes it difficult to predict with certainty how they will be applied. Any analysis we perform of data from nonclinical and clinical activities is subject to validation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FDA policy during the period of product development and FDA regulatory review. Specifically, some countries have enacted or are considering enacting restrictions on the import and export of human genetic materials, cells and tissues. Such laws and regulations could impair our ability to import and export human cells and cell-based therapies, which could have a material adverse impact on our business. We cannot predict whether legislative changes will be enacted,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spacing w:after="0" w:line="84"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completed any pivotal trials required for the approval of rilparencel. We may experience delays in conducting any clinical trials because of the redesign of clinical trials, and/or our ability to recruit and enroll subjects on time or at all. Clinical trials can be delayed suspended or terminated for a variety of reasons, including in connection with:</w:t>
      </w:r>
    </w:p>
    <w:p>
      <w:pPr>
        <w:spacing w:after="0" w:line="176" w:lineRule="exact"/>
        <w:rPr>
          <w:sz w:val="20"/>
          <w:szCs w:val="20"/>
          <w:color w:val="auto"/>
        </w:rPr>
      </w:pPr>
    </w:p>
    <w:p>
      <w:pPr>
        <w:ind w:left="1320" w:right="180" w:hanging="472"/>
        <w:spacing w:after="0" w:line="282" w:lineRule="auto"/>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standardizing or controlling a manufacturing process and quality criteria suitable for advanced clinical trials;</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suitable assays for screening patients for eligibility for trials with respect to certain product candidates;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FDA or other regulatory authorities as to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additional regulatory authorizations to conduct future clinical trials;</w:t>
      </w:r>
    </w:p>
    <w:p>
      <w:pPr>
        <w:spacing w:after="0" w:line="225" w:lineRule="exact"/>
        <w:rPr>
          <w:rFonts w:ascii="Times New Roman" w:cs="Times New Roman" w:eastAsia="Times New Roman" w:hAnsi="Times New Roman"/>
          <w:sz w:val="18"/>
          <w:szCs w:val="18"/>
          <w:color w:val="auto"/>
        </w:rPr>
      </w:pPr>
    </w:p>
    <w:p>
      <w:pPr>
        <w:ind w:left="1320" w:right="460" w:hanging="472"/>
        <w:spacing w:after="0" w:line="282" w:lineRule="auto"/>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agreements on acceptable terms with additional/future clinical trial sites or prospective CROs, the terms of which can be subject to extensive negotiation and may vary significantly among different clinical trial sites;</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IRB or Ethics Committee approval at each additional/future trial site;</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subjects complete a clinical trial or return for post-treatment follow-up;</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clinical trial sites or operations by applicable regulatory authorities, or the imposition of a clinical hold;</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CROs or other third parties deviating from trial protocol or dropping out of a trial;</w:t>
      </w:r>
    </w:p>
    <w:p>
      <w:pPr>
        <w:spacing w:after="0" w:line="225" w:lineRule="exact"/>
        <w:rPr>
          <w:rFonts w:ascii="Times New Roman" w:cs="Times New Roman" w:eastAsia="Times New Roman" w:hAnsi="Times New Roman"/>
          <w:sz w:val="18"/>
          <w:szCs w:val="18"/>
          <w:color w:val="auto"/>
        </w:rPr>
      </w:pPr>
    </w:p>
    <w:p>
      <w:pPr>
        <w:ind w:left="1320" w:right="600" w:hanging="472"/>
        <w:spacing w:after="0" w:line="282" w:lineRule="auto"/>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applicable regulatory requirements, including FDA’s GCP requirements, or applicable regulatory requirements in other countries;</w:t>
      </w:r>
    </w:p>
    <w:p>
      <w:pPr>
        <w:spacing w:after="0" w:line="161" w:lineRule="exact"/>
        <w:rPr>
          <w:rFonts w:ascii="Times New Roman" w:cs="Times New Roman" w:eastAsia="Times New Roman" w:hAnsi="Times New Roman"/>
          <w:sz w:val="18"/>
          <w:szCs w:val="18"/>
          <w:color w:val="auto"/>
        </w:rPr>
      </w:pPr>
    </w:p>
    <w:p>
      <w:pPr>
        <w:ind w:left="1320" w:right="380" w:hanging="472"/>
        <w:spacing w:after="0" w:line="282" w:lineRule="auto"/>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 including occurrence of adverse events associated with the product candidate or the delivery procedure that are viewed to outweigh its potential benefits;</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for use in clinical trials;</w:t>
      </w:r>
    </w:p>
    <w:p>
      <w:pPr>
        <w:spacing w:after="0" w:line="225" w:lineRule="exact"/>
        <w:rPr>
          <w:rFonts w:ascii="Times New Roman" w:cs="Times New Roman" w:eastAsia="Times New Roman" w:hAnsi="Times New Roman"/>
          <w:sz w:val="18"/>
          <w:szCs w:val="18"/>
          <w:color w:val="auto"/>
        </w:rPr>
      </w:pPr>
    </w:p>
    <w:p>
      <w:pPr>
        <w:ind w:left="1320" w:right="860" w:hanging="472"/>
        <w:spacing w:after="0" w:line="282" w:lineRule="auto"/>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 which could result in improper storage, transport or development conditions for our product components, whose treatment is time-sensitive and temperature-sensitive and which are patient-specific; or</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our manufacturing processes, which could lead to our inability to properly administer treatment.</w:t>
      </w:r>
    </w:p>
    <w:p>
      <w:pPr>
        <w:spacing w:after="0" w:line="333" w:lineRule="exact"/>
        <w:rPr>
          <w:sz w:val="20"/>
          <w:szCs w:val="20"/>
          <w:color w:val="auto"/>
        </w:rPr>
      </w:pPr>
    </w:p>
    <w:p>
      <w:pPr>
        <w:ind w:right="580" w:firstLine="509"/>
        <w:spacing w:after="0" w:line="312" w:lineRule="auto"/>
        <w:rPr>
          <w:sz w:val="20"/>
          <w:szCs w:val="20"/>
          <w:color w:val="auto"/>
        </w:rPr>
      </w:pPr>
      <w:r>
        <w:rPr>
          <w:rFonts w:ascii="Times New Roman" w:cs="Times New Roman" w:eastAsia="Times New Roman" w:hAnsi="Times New Roman"/>
          <w:sz w:val="17"/>
          <w:szCs w:val="17"/>
          <w:color w:val="auto"/>
        </w:rPr>
        <w:t>We may experience numerous unforeseen events during, or as a result of, clinical trials that could delay or prevent our ability to receive marketing approval or commercialize rilparencel or any of our future product candidates or significantly increase the cost of such trials, including:</w:t>
      </w:r>
    </w:p>
    <w:p>
      <w:pPr>
        <w:spacing w:after="0" w:line="140" w:lineRule="exact"/>
        <w:rPr>
          <w:sz w:val="20"/>
          <w:szCs w:val="20"/>
          <w:color w:val="auto"/>
        </w:rPr>
      </w:pPr>
    </w:p>
    <w:p>
      <w:pPr>
        <w:ind w:left="1320" w:right="20" w:hanging="472"/>
        <w:spacing w:after="0" w:line="282" w:lineRule="auto"/>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guidance, or receive feedback from regulatory authorities that requires us to modify the design of our clinical trials;</w:t>
      </w:r>
    </w:p>
    <w:p>
      <w:pPr>
        <w:spacing w:after="0" w:line="161" w:lineRule="exact"/>
        <w:rPr>
          <w:rFonts w:ascii="Times New Roman" w:cs="Times New Roman" w:eastAsia="Times New Roman" w:hAnsi="Times New Roman"/>
          <w:sz w:val="18"/>
          <w:szCs w:val="18"/>
          <w:color w:val="auto"/>
        </w:rPr>
      </w:pPr>
    </w:p>
    <w:p>
      <w:pPr>
        <w:ind w:left="1320" w:right="500" w:hanging="472"/>
        <w:spacing w:after="0" w:line="282" w:lineRule="auto"/>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rilparencel or our future product candidates may produce negative or inconclusive results, and we may decide, or regulators may require us, to conduct additional clinical trials or abandon development programs;</w:t>
      </w:r>
    </w:p>
    <w:p>
      <w:pPr>
        <w:spacing w:after="0" w:line="161" w:lineRule="exact"/>
        <w:rPr>
          <w:rFonts w:ascii="Times New Roman" w:cs="Times New Roman" w:eastAsia="Times New Roman" w:hAnsi="Times New Roman"/>
          <w:sz w:val="18"/>
          <w:szCs w:val="18"/>
          <w:color w:val="auto"/>
        </w:rPr>
      </w:pPr>
    </w:p>
    <w:p>
      <w:pPr>
        <w:ind w:left="1320" w:right="100" w:hanging="472"/>
        <w:spacing w:after="0" w:line="266" w:lineRule="auto"/>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rilparencel or our future product candidates may be larger than we anticipate, enrollment in these clinical trials may be slower than we anticipate or subjects may drop out of these clinical trials at a higher rate than we anticipate;</w:t>
      </w:r>
    </w:p>
    <w:p>
      <w:pPr>
        <w:spacing w:after="0" w:line="175" w:lineRule="exact"/>
        <w:rPr>
          <w:rFonts w:ascii="Times New Roman" w:cs="Times New Roman" w:eastAsia="Times New Roman" w:hAnsi="Times New Roman"/>
          <w:sz w:val="18"/>
          <w:szCs w:val="18"/>
          <w:color w:val="auto"/>
        </w:rPr>
      </w:pPr>
    </w:p>
    <w:p>
      <w:pPr>
        <w:ind w:left="1320" w:right="500" w:hanging="472"/>
        <w:spacing w:after="0" w:line="282" w:lineRule="auto"/>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161" w:lineRule="exact"/>
        <w:rPr>
          <w:rFonts w:ascii="Times New Roman" w:cs="Times New Roman" w:eastAsia="Times New Roman" w:hAnsi="Times New Roman"/>
          <w:sz w:val="18"/>
          <w:szCs w:val="18"/>
          <w:color w:val="auto"/>
        </w:rPr>
      </w:pPr>
    </w:p>
    <w:p>
      <w:pPr>
        <w:ind w:left="1320" w:hanging="472"/>
        <w:spacing w:after="0" w:line="289" w:lineRule="auto"/>
        <w:tabs>
          <w:tab w:leader="none" w:pos="13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investigators might have to suspend or terminate clinical trials of rilparencel or our future product candidates for various reasons, including non-compliance with regulatory requirements, a finding that rilparencel or our future product candidates have undesirable side effects or other unexpected characteristics, or a finding that the subjects are being exposed to unacceptable health risks;</w:t>
      </w:r>
    </w:p>
    <w:p>
      <w:pPr>
        <w:sectPr>
          <w:pgSz w:w="11900" w:h="16904" w:orient="portrait"/>
          <w:cols w:equalWidth="0" w:num="1">
            <w:col w:w="11120"/>
          </w:cols>
          <w:pgMar w:left="320" w:top="1093" w:right="459" w:bottom="0" w:gutter="0" w:footer="0" w:header="0"/>
        </w:sectPr>
      </w:pPr>
    </w:p>
    <w:bookmarkStart w:id="45" w:name="page46"/>
    <w:bookmarkEnd w:id="45"/>
    <w:p>
      <w:pPr>
        <w:ind w:left="472" w:hanging="472"/>
        <w:spacing w:after="0" w:line="282" w:lineRule="auto"/>
        <w:tabs>
          <w:tab w:leader="none" w:pos="4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rilparencel or our future product candidates may be greater than we anticipate and we may not have funds to cover the costs;</w:t>
      </w:r>
    </w:p>
    <w:p>
      <w:pPr>
        <w:spacing w:after="0" w:line="162" w:lineRule="exact"/>
        <w:rPr>
          <w:sz w:val="20"/>
          <w:szCs w:val="20"/>
          <w:color w:val="auto"/>
        </w:rPr>
      </w:pPr>
    </w:p>
    <w:p>
      <w:pPr>
        <w:ind w:left="4692"/>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32"/>
          </w:cols>
          <w:pgMar w:left="1168" w:top="337" w:right="499" w:bottom="1440" w:gutter="0" w:footer="0" w:header="0"/>
        </w:sectPr>
      </w:pPr>
    </w:p>
    <w:bookmarkStart w:id="46" w:name="page47"/>
    <w:bookmarkEnd w:id="46"/>
    <w:p>
      <w:pPr>
        <w:ind w:left="1320" w:right="20" w:hanging="472"/>
        <w:spacing w:after="0" w:line="282" w:lineRule="auto"/>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rilparencel or our future product candidates or other materials necessary to conduct clinical trials of our product candidates may be insufficient or inadequate;</w:t>
      </w:r>
    </w:p>
    <w:p>
      <w:pPr>
        <w:spacing w:after="0" w:line="161" w:lineRule="exact"/>
        <w:rPr>
          <w:rFonts w:ascii="Times New Roman" w:cs="Times New Roman" w:eastAsia="Times New Roman" w:hAnsi="Times New Roman"/>
          <w:sz w:val="18"/>
          <w:szCs w:val="18"/>
          <w:color w:val="auto"/>
        </w:rPr>
      </w:pPr>
    </w:p>
    <w:p>
      <w:pPr>
        <w:ind w:left="1320" w:right="140" w:hanging="472"/>
        <w:spacing w:after="0" w:line="282" w:lineRule="auto"/>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rilparencel or our future product candidates, or such requirements may not be as we anticipate; and</w:t>
      </w:r>
    </w:p>
    <w:p>
      <w:pPr>
        <w:spacing w:after="0" w:line="161" w:lineRule="exact"/>
        <w:rPr>
          <w:rFonts w:ascii="Times New Roman" w:cs="Times New Roman" w:eastAsia="Times New Roman" w:hAnsi="Times New Roman"/>
          <w:sz w:val="18"/>
          <w:szCs w:val="18"/>
          <w:color w:val="auto"/>
        </w:rPr>
      </w:pPr>
    </w:p>
    <w:p>
      <w:pPr>
        <w:ind w:left="1320" w:right="100" w:hanging="472"/>
        <w:spacing w:after="0" w:line="282" w:lineRule="auto"/>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conduct clinical trials in ways they view as advantageous to them but that are suboptimal for us.</w:t>
      </w:r>
    </w:p>
    <w:p>
      <w:pPr>
        <w:spacing w:after="0" w:line="27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rilparencel or any of our future product candidates beyond those that we currently contemplate, if we are unable to successfully complete clinical trials of rilparencel or our future product candidates or other testing, if the results of these trials or tests are not positive or are only modestly positive or if there are safety concerns, we may:</w:t>
      </w:r>
    </w:p>
    <w:p>
      <w:pPr>
        <w:spacing w:after="0" w:line="176" w:lineRule="exact"/>
        <w:rPr>
          <w:sz w:val="20"/>
          <w:szCs w:val="20"/>
          <w:color w:val="auto"/>
        </w:rPr>
      </w:pPr>
    </w:p>
    <w:p>
      <w:pPr>
        <w:ind w:left="1320" w:hanging="472"/>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225" w:lineRule="exact"/>
        <w:rPr>
          <w:rFonts w:ascii="Times New Roman" w:cs="Times New Roman" w:eastAsia="Times New Roman" w:hAnsi="Times New Roman"/>
          <w:sz w:val="18"/>
          <w:szCs w:val="18"/>
          <w:color w:val="auto"/>
        </w:rPr>
      </w:pPr>
    </w:p>
    <w:p>
      <w:pPr>
        <w:ind w:left="1320" w:right="140" w:hanging="472"/>
        <w:spacing w:after="0" w:line="282" w:lineRule="auto"/>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rilparencel or any of our future product candidates or not obtain marketing approval at all;</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intended or desired;</w:t>
      </w:r>
    </w:p>
    <w:p>
      <w:pPr>
        <w:spacing w:after="0" w:line="225" w:lineRule="exact"/>
        <w:rPr>
          <w:rFonts w:ascii="Times New Roman" w:cs="Times New Roman" w:eastAsia="Times New Roman" w:hAnsi="Times New Roman"/>
          <w:sz w:val="18"/>
          <w:szCs w:val="18"/>
          <w:color w:val="auto"/>
        </w:rPr>
      </w:pPr>
    </w:p>
    <w:p>
      <w:pPr>
        <w:ind w:left="1320" w:right="300" w:hanging="472"/>
        <w:spacing w:after="0" w:line="282" w:lineRule="auto"/>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safety warnings, including boxed warnings or REMS;</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 or</w:t>
      </w:r>
    </w:p>
    <w:p>
      <w:pPr>
        <w:spacing w:after="0" w:line="225"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to impose restrictions on its distribution after obtaining marketing approval.</w:t>
      </w:r>
    </w:p>
    <w:p>
      <w:pPr>
        <w:spacing w:after="0" w:line="27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rilparencel or one of our future product candidates, changes in governmental regulations or administrative actions or lack of adequate funding to continue the clinical trial.</w:t>
      </w:r>
    </w:p>
    <w:p>
      <w:pPr>
        <w:spacing w:after="0" w:line="7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Rilparencel, our lead product candidate, will require extensive clinical testing before we are prepared to submit a BLA for regulatory approval. We cannot predict with any certainty if or when we might complete the clinical development for rilparencel and submit a BLA for regulatory approval of rilparencel or whether any such BLA will be approved. We may also seek feedback from the FDA or other regulatory authorities on our clinical development program, and the FDA or such other regulatory authorities may not provide such feedback on a timely basis, or such feedback may not be favorable, which could further delay our development programs.</w:t>
      </w:r>
    </w:p>
    <w:p>
      <w:pPr>
        <w:spacing w:after="0" w:line="75"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If we seek to conduct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from foreign regulatory agencies may differ from that required to obtain FDA approval. Approval by the FDA does not ensure approval by regulatory authorities outside the United States and vice versa. 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spacing w:after="0" w:line="298"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topline data or interim analyses from our nonclinical studies and clinical trials that may be announced or published from time to time may change as more data becomes available and will remain subject to audit and verification procedures that could result in material changes in the final data.</w:t>
      </w:r>
    </w:p>
    <w:p>
      <w:pPr>
        <w:spacing w:after="0" w:line="67"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We have disclosed interim analyses of certain ongoing clinical trials and may continue to disclose publicly interim or topline data from its nonclinical studies and clinical trials in the future. These interim updates will be based on a preliminary analysis of then-available data, and the results and related findings and conclusions will be subject to change following a more comprehensive review of the data related to the particular study or trial. We will be required to make assumptions, estimations, calculations and conclusions as part of our analyses of data, and we may not have received or had the opportunity to fully and carefully evaluate all data. As a result, the interim or topline results that we may report might differ from future results of the same studies or trials, or</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5" w:right="479" w:bottom="807" w:gutter="0" w:footer="0" w:header="0"/>
        </w:sectPr>
      </w:pPr>
    </w:p>
    <w:bookmarkStart w:id="47" w:name="page48"/>
    <w:bookmarkEnd w:id="47"/>
    <w:p>
      <w:pPr>
        <w:ind w:right="260"/>
        <w:spacing w:after="0" w:line="258" w:lineRule="auto"/>
        <w:rPr>
          <w:sz w:val="20"/>
          <w:szCs w:val="20"/>
          <w:color w:val="auto"/>
        </w:rPr>
      </w:pPr>
      <w:r>
        <w:rPr>
          <w:rFonts w:ascii="Times New Roman" w:cs="Times New Roman" w:eastAsia="Times New Roman" w:hAnsi="Times New Roman"/>
          <w:sz w:val="18"/>
          <w:szCs w:val="18"/>
          <w:color w:val="auto"/>
        </w:rPr>
        <w:t>different conclusions or considerations may qualify such results, once additional data have been received and fully evaluated. Interim and topline data will remain subject to audit and verification procedures that may result in the final data being materially different from the data we previously published. As a result, any interim or topline data should be viewed with caution until the final data are available. Interim data from clinical trials that we may complete will be subject to the risk that one or more of the clinical outcomes may materially change as patient enrollment continues and more patient data becomes available.</w:t>
      </w:r>
    </w:p>
    <w:p>
      <w:pPr>
        <w:spacing w:after="0" w:line="75"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us in general. In addition, the information we choose to publicly disclose regarding a particular study or clinical trial is based on what is typically extensive information, investors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or topline data that we report differ from actual results, or if others, including regulatory authorities, disagree with the conclusions reached, our ability to obtain approval for, and commercialize, our product candidate may be harmed, which could harm our business, operating results, prospects or financial condition.</w:t>
      </w:r>
    </w:p>
    <w:p>
      <w:pPr>
        <w:spacing w:after="0" w:line="29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time-consuming and inherently unpredictable. If we are not able to obtain required regulatory approval for rilparencel, our lead product candidate, or any of our future product candidates, our business may be materially and adversely affected.</w:t>
      </w:r>
    </w:p>
    <w:p>
      <w:pPr>
        <w:spacing w:after="0" w:line="67" w:lineRule="exact"/>
        <w:rPr>
          <w:sz w:val="20"/>
          <w:szCs w:val="20"/>
          <w:color w:val="auto"/>
        </w:rPr>
      </w:pPr>
    </w:p>
    <w:p>
      <w:pPr>
        <w:jc w:val="both"/>
        <w:ind w:right="320" w:firstLine="509"/>
        <w:spacing w:after="0" w:line="254" w:lineRule="auto"/>
        <w:rPr>
          <w:sz w:val="20"/>
          <w:szCs w:val="20"/>
          <w:color w:val="auto"/>
        </w:rPr>
      </w:pPr>
      <w:r>
        <w:rPr>
          <w:rFonts w:ascii="Times New Roman" w:cs="Times New Roman" w:eastAsia="Times New Roman" w:hAnsi="Times New Roman"/>
          <w:sz w:val="18"/>
          <w:szCs w:val="18"/>
          <w:color w:val="auto"/>
        </w:rPr>
        <w:t>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w:t>
      </w:r>
    </w:p>
    <w:p>
      <w:pPr>
        <w:spacing w:after="0" w:line="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Neither we nor any current or future collaborator is permitted to market any biologic product candidates in the United States until we receive regulatory approval of a BLA from the FDA, and we cannot market it in jurisdictions outside of the United States until we obtain the applicable regulatory authorization required in such other jurisdictions. To date, we have had only limited discussions with domestic and foreign regulatory agencies regarding clinical development programs or regulatory approval for any product candidate within such jurisdictions.</w:t>
      </w:r>
    </w:p>
    <w:p>
      <w:pPr>
        <w:spacing w:after="0" w:line="8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Prior to obtaining approval to commercialize any biologic product candidate in the United States or abroad, we must demonstrate with substantial evidence from well-controlled clinical trials, and to the satisfaction of the FDA or other foreign regulatory agencies, that such product candidates are safe and effective for their intended uses. Results from nonclinical or preclinical studies and clinical trials may be interpreted differently by different regulatory agencies. Even if we believe the nonclinical or clinical data for rilparencel are promising, such data may be insufficient to support approval by the FDA and other regulatory authorities. The FDA may also require us to conduct additional nonclinical studies or clinical trials for rilparencel either prior to or after approval, or it may object to elements of our clinical development programs.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Rilparencel could fail to receive regulatory approval for many reasons, including the following:</w:t>
      </w:r>
    </w:p>
    <w:p>
      <w:pPr>
        <w:spacing w:after="0" w:line="225" w:lineRule="exact"/>
        <w:rPr>
          <w:sz w:val="20"/>
          <w:szCs w:val="20"/>
          <w:color w:val="auto"/>
        </w:rPr>
      </w:pPr>
    </w:p>
    <w:p>
      <w:pPr>
        <w:ind w:left="1320" w:hanging="472"/>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161" w:lineRule="exact"/>
        <w:rPr>
          <w:rFonts w:ascii="Times New Roman" w:cs="Times New Roman" w:eastAsia="Times New Roman" w:hAnsi="Times New Roman"/>
          <w:sz w:val="18"/>
          <w:szCs w:val="18"/>
          <w:color w:val="auto"/>
        </w:rPr>
      </w:pPr>
    </w:p>
    <w:p>
      <w:pPr>
        <w:ind w:left="1320" w:right="80" w:hanging="472"/>
        <w:spacing w:after="0" w:line="282" w:lineRule="auto"/>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225" w:lineRule="exact"/>
        <w:rPr>
          <w:rFonts w:ascii="Times New Roman" w:cs="Times New Roman" w:eastAsia="Times New Roman" w:hAnsi="Times New Roman"/>
          <w:sz w:val="18"/>
          <w:szCs w:val="18"/>
          <w:color w:val="auto"/>
        </w:rPr>
      </w:pPr>
    </w:p>
    <w:p>
      <w:pPr>
        <w:ind w:left="1320" w:right="480" w:hanging="472"/>
        <w:spacing w:after="0" w:line="282" w:lineRule="auto"/>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our manufacturing processes or facilities of third-party suppliers with which we contract for clinical and commercial supplies; and</w:t>
      </w:r>
    </w:p>
    <w:p>
      <w:pPr>
        <w:spacing w:after="0" w:line="161" w:lineRule="exact"/>
        <w:rPr>
          <w:rFonts w:ascii="Times New Roman" w:cs="Times New Roman" w:eastAsia="Times New Roman" w:hAnsi="Times New Roman"/>
          <w:sz w:val="18"/>
          <w:szCs w:val="18"/>
          <w:color w:val="auto"/>
        </w:rPr>
      </w:pPr>
    </w:p>
    <w:p>
      <w:pPr>
        <w:ind w:left="1320" w:right="140" w:hanging="472"/>
        <w:spacing w:after="0" w:line="282" w:lineRule="auto"/>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authorities may significantly change in a manner rendering our clinical data insufficient for approval.</w:t>
      </w:r>
    </w:p>
    <w:p>
      <w:pPr>
        <w:spacing w:after="0" w:line="27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Of the large number of product candidates developed by biologics manufacturers,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and marketing authorization to market rilparencel or any of our future product candidates, which would significantly harm our business, financial condition, results of operations and prospects.</w:t>
      </w:r>
    </w:p>
    <w:p>
      <w:pPr>
        <w:spacing w:after="0" w:line="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3" w:right="499" w:bottom="1440" w:gutter="0" w:footer="0" w:header="0"/>
        </w:sectPr>
      </w:pPr>
    </w:p>
    <w:bookmarkStart w:id="48" w:name="page49"/>
    <w:bookmarkEnd w:id="48"/>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development of rilparencel. Our business is dependent on our ability to successfully complete nonclinical and clinical development of, obtain regulatory approval for, and, if approved, successfully commercialize rilparencel and any future product candidates in a timely manner.</w:t>
      </w:r>
    </w:p>
    <w:p>
      <w:pPr>
        <w:spacing w:after="0" w:line="68"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 BLA or foreign marketing application for rilparencel or any future product candidates, the FDA or the applicable foreign regulatory agency may grant approval or other marketing authorization contingent on the performance of costly additional clinical trials, including post-marketing clinical trials. The FDA or the applicable foreign regulatory agency also may approve or authorize for marketing a product candidate for a more limited indication or patient population than we originally request and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FDA and other regulatory authorities may change their policies, issue additional regulations or revise existing regulations, or take other actions, which may prevent or delay approval of our future product candidates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8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nonclinical studies and clinical trials may fail to demonstrate substantial evidence of the safety and efficacy of rilparencel or our future product candidates, or serious adverse or unacceptable side effects may be identified during the development of rilparencel or any of our future product candidates, which could prevent, delay or limit the scope of regulatory approval of rilparencel or any of our future product candidates, limit their commercialization, increase our costs or necessitate the abandonment or limitation of the development of rilparencel or our future product candidates.</w:t>
      </w:r>
    </w:p>
    <w:p>
      <w:pPr>
        <w:spacing w:after="0" w:line="75" w:lineRule="exact"/>
        <w:rPr>
          <w:sz w:val="20"/>
          <w:szCs w:val="20"/>
          <w:color w:val="auto"/>
        </w:rPr>
      </w:pPr>
    </w:p>
    <w:p>
      <w:pPr>
        <w:ind w:right="260" w:firstLine="509"/>
        <w:spacing w:after="0" w:line="273" w:lineRule="auto"/>
        <w:rPr>
          <w:sz w:val="20"/>
          <w:szCs w:val="20"/>
          <w:color w:val="auto"/>
        </w:rPr>
      </w:pPr>
      <w:r>
        <w:rPr>
          <w:rFonts w:ascii="Times New Roman" w:cs="Times New Roman" w:eastAsia="Times New Roman" w:hAnsi="Times New Roman"/>
          <w:sz w:val="17"/>
          <w:szCs w:val="17"/>
          <w:color w:val="auto"/>
        </w:rPr>
        <w:t>To obtain the requisite regulatory approvals for the commercial sale of rilparencel and any of our future product candidates, we must demonstrate through lengthy, complex and expensive nonclinical testing and clinical trials that our product candidates are safe, pure, potent and effective for use in each target indication. Nonclinical testing and clinical trials are expensive and time consuming, and their outcomes are inherently uncertain. Failures can occur at any time during the development process. The outcome of nonclinical studies and early clinical trials may not be predictive of the results of later clinical trials, and interim results of a clinical trial do not necessarily predict final results. Moreover, nonclinical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63"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may fail to demonstrate with substantial evidence from adequate and well-controlled trials, and to the satisfaction of the FDA or comparable foreign regulatory authorities, that rilparencel is safe and potent for its intended uses.</w:t>
      </w:r>
    </w:p>
    <w:p>
      <w:pPr>
        <w:spacing w:after="0" w:line="54"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Possible adverse side effects that could occur with treatment with autologous cell therapy products include thrombocytopenia, chills, anemia, febrile neutropenia, diarrhea, neutropenia, vomiting, hypotension, dyspnea, cytokine release syndrome and neurotoxicity. Side effects may be unrecognized and mismanaged by medical personnel and considered unrelated due to unfamiliarity with the rilparencel cell-based treatments. Rilparencel treatment necessitates a renal biopsy to obtain tissue to manufacture the bioactive component and subsequent injections to deposit the rilparencel product into the kidney. Each intervention poses well-known risks of adverse events such as renal bleeding, cortical scarring, decline in kidney function or other adverse events that may require hospitalization, blood transfusion or angiographic intervention.</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RMCL-002 trial, which used a different formulation of the rilparencel product and a different procedure than that presently used in our Phase 3 trials, one participant experienced serious adverse events that included scarring or fibrosis and a decrease in kidney function. A second participant experienced decreased kidney blood flow observed on computed tomography (“CT”) imaging and a decrease in kidney function. If other adverse events, or other unexpected serious adverse events, occur, our clinical trials could be suspended or terminated. If we cannot demonstrate that adverse events experienced by subjects enrolled in our current and planned clinical trials were not caused by the rilparencel product candidate or procedure, the FDA or other foreign regulatory authorities could order us to cease further development of, or deny approval of, our product candidate for any or all targeted indications. Even if we are able to demonstrate that serious adverse events experienced by subjects enrolled in our current and planned clinical trials are not product-related, such occurrences could affect patient recruitment or the ability of enrolled subjects to complete the trial. Moreover, if we elect, or are required, to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8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Furthermore, if rilparencel or any of our future product candidates is associated with undesirable effects in nonclinical studies or clinical trials or have characteristics that are unexpected, we may decide or be required to perform additional nonclinical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The FDA and other</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49" w:name="page50"/>
    <w:bookmarkEnd w:id="49"/>
    <w:p>
      <w:pPr>
        <w:ind w:right="120"/>
        <w:spacing w:after="0" w:line="258" w:lineRule="auto"/>
        <w:rPr>
          <w:sz w:val="20"/>
          <w:szCs w:val="20"/>
          <w:color w:val="auto"/>
        </w:rPr>
      </w:pPr>
      <w:r>
        <w:rPr>
          <w:rFonts w:ascii="Times New Roman" w:cs="Times New Roman" w:eastAsia="Times New Roman" w:hAnsi="Times New Roman"/>
          <w:sz w:val="18"/>
          <w:szCs w:val="18"/>
          <w:color w:val="auto"/>
        </w:rPr>
        <w:t>health authorities, an IRB, or an IEC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 stage testing have later been found to cause side effects that prevented further development of the product candidate.</w:t>
      </w:r>
    </w:p>
    <w:p>
      <w:pPr>
        <w:spacing w:after="0" w:line="75"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Additionally, if rilparencel or any of our future product candidates receives marketing approval, and we or others identify unacceptable side effects caused by such products, a number of potentially significant negative consequences could result, including:</w:t>
      </w:r>
    </w:p>
    <w:p>
      <w:pPr>
        <w:spacing w:after="0" w:line="162" w:lineRule="exact"/>
        <w:rPr>
          <w:sz w:val="20"/>
          <w:szCs w:val="20"/>
          <w:color w:val="auto"/>
        </w:rPr>
      </w:pPr>
    </w:p>
    <w:p>
      <w:pPr>
        <w:ind w:left="1320" w:right="500" w:hanging="472"/>
        <w:spacing w:after="0" w:line="282" w:lineRule="auto"/>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withdraw or limit approvals of such product, or seek an injunction against its manufacture or distribution;</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225"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other requirements subject to a REMS;</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nonclinical studies or clinical trials;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the product from the market;</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third-party payor coverage and adequate reimbursement;</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 and</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33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resolve any issues related to any product-related adverse events to the satisfaction of the FDA or foreign regulatory agencies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2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 opinion and increased regulatory scrutiny of autologous cell therapy using rilparencel may adversely impact the development or commercial success of our current and future product candidates.</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clinical and commercial success of rilparencel will depend in part on public acceptance of the use of autologous cell therapy for treatment of kidney disease. Any adverse public attitudes about the use of rilparencel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72"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More restrictive government regulations or negative public opinion would have a negative effect on our business or financial condition and may delay or impair the development and commercialization of rilparencel or any of our future product candidates or demand for any products once approved. Adverse events in our or others’ clinical trials, even if not ultimately attributable to our product candidates, and the resulting publicity could result in increased governmental regulation, unfavorable public perception, potential regulatory delays in the testing or approval of rilparencel or our future product candidates, stricter labeling requirements for those product candidates that are approved and a decrease in demand for any such product candidates, all of which would have a negative impact on our business and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conducting our first Phase 3 clinical trial and may be unable to successfully complete it or any future clinical trials.</w:t>
      </w:r>
    </w:p>
    <w:p>
      <w:pPr>
        <w:spacing w:after="0" w:line="121" w:lineRule="exact"/>
        <w:rPr>
          <w:sz w:val="20"/>
          <w:szCs w:val="20"/>
          <w:color w:val="auto"/>
        </w:rPr>
      </w:pPr>
    </w:p>
    <w:p>
      <w:pPr>
        <w:ind w:right="260" w:firstLine="509"/>
        <w:spacing w:after="0" w:line="253" w:lineRule="auto"/>
        <w:rPr>
          <w:sz w:val="20"/>
          <w:szCs w:val="20"/>
          <w:color w:val="auto"/>
        </w:rPr>
      </w:pPr>
      <w:r>
        <w:rPr>
          <w:rFonts w:ascii="Times New Roman" w:cs="Times New Roman" w:eastAsia="Times New Roman" w:hAnsi="Times New Roman"/>
          <w:sz w:val="18"/>
          <w:szCs w:val="18"/>
          <w:color w:val="auto"/>
        </w:rPr>
        <w:t>The conduct of a Phase 3 clinical trial is a complicated process. Although members of our management team have conducted Phase 3 clinical trials in the past while employed at other companies, we as a company are currently conducting our first Phase 3 development program, and as a result may require more time and incur greater costs than we anticipate. Failure to include the correct treatment regimen, complete, or delays in, our Phase 3 clinical trial could prevent us from or delay us in commencing future clinical trials for rilparencel, obtaining regulatory approval of and commercializing rilparencel, which would adversely impact our financial performance. In addition, some of our competitors are currently conducting clinical trials for product candidates that treat the same indications as rilparencel, and patients who are otherwise eligible for our clinical trials may instead enroll in clinical trials of our competitors’ product candidates.</w:t>
      </w:r>
    </w:p>
    <w:p>
      <w:pPr>
        <w:spacing w:after="0" w:line="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3" w:right="479" w:bottom="1440" w:gutter="0" w:footer="0" w:header="0"/>
        </w:sectPr>
      </w:pPr>
    </w:p>
    <w:bookmarkStart w:id="50" w:name="page51"/>
    <w:bookmarkEnd w:id="50"/>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continue to encounter difficulties enrolling patients in our clinical trials, and our clinical development activities have been and may continue to be delayed or otherwise adversely affected.</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and competition for patients eligible for our clinical trials with competitors which may have ongoing clinical trials for product candidates that are under development to treat the same indications as one or more of our product candidates, or may have approved products for the conditions for which we are developing our product candidates.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Clinical trials may be subject to delays as a result of patient enrollment taking longer than anticipated or greater than anticipated subject withdrawal. We may not be able to initiate or continue clinical trials for rilparencel or our future product candidates if we are unable to locate and enroll a sufficient number of eligible patients to participate in these trials as required by the FDA or foreign regulatory authorities. We cannot predict how successful we will be at enrolling subjects in future clinical trials. The enrollment of patients depends on many factors, including:</w:t>
      </w:r>
    </w:p>
    <w:p>
      <w:pPr>
        <w:spacing w:after="0" w:line="180" w:lineRule="exact"/>
        <w:rPr>
          <w:sz w:val="20"/>
          <w:szCs w:val="20"/>
          <w:color w:val="auto"/>
        </w:rPr>
      </w:pPr>
    </w:p>
    <w:p>
      <w:pPr>
        <w:ind w:left="1320" w:hanging="472"/>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and exclusion criteria defined in the protocol;</w:t>
      </w:r>
    </w:p>
    <w:p>
      <w:pPr>
        <w:spacing w:after="0" w:line="225" w:lineRule="exact"/>
        <w:rPr>
          <w:rFonts w:ascii="Times New Roman" w:cs="Times New Roman" w:eastAsia="Times New Roman" w:hAnsi="Times New Roman"/>
          <w:sz w:val="18"/>
          <w:szCs w:val="18"/>
          <w:color w:val="auto"/>
        </w:rPr>
      </w:pPr>
    </w:p>
    <w:p>
      <w:pPr>
        <w:ind w:left="1320" w:right="140" w:hanging="472"/>
        <w:spacing w:after="0" w:line="282" w:lineRule="auto"/>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demographics of the patient population required for analysis of the clinical trial’s primary endpoints and the process for identifying patients;</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subjects to clinical trial sites;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1320" w:right="20" w:hanging="472"/>
        <w:spacing w:after="0" w:line="282" w:lineRule="auto"/>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product candidates’ clinical trials;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clinical trial subject informed consents; and</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subjects enrolled in clinical trials will drop out of the trials before completion.</w:t>
      </w:r>
    </w:p>
    <w:p>
      <w:pPr>
        <w:spacing w:after="0" w:line="33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example, we are initially developing rilparencel for the treatment of CKD due to diabetes or congenital anomalies of the kidney and urinary tract. We have and may continue to encounter difficulties enrolling subjects in our clinical trials of rilparencel due, in part, to the stringent inclusion criteria for subjects, the novelty of the treatment modality and the fact that it involves a physically invasive procedure. In addition, our clinical trials compete with other clinical trials for product candidates that are in the same therapeutic areas as rilparencel, and this competition has and may continue to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may reduce the number of patients who are available for our clinical trials in such clinical trial site.</w:t>
      </w:r>
    </w:p>
    <w:p>
      <w:pPr>
        <w:spacing w:after="0" w:line="8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would result in significant delays and could require us to abandon one or more clinical trials altogether. Delays in patient enrollment have and may continue to result in increased costs and have and may continue to affect the timing or outcome of our future clinical trials, which could prevent completion of these trials and adversely affect our ability to advance the development of rilparencel or any of our future product candidates. Furthermore, we expect to rely on CROs and clinical trial sites to ensure the proper and timely conduct of our clinical trials and we will have limited influence over their performance.</w:t>
      </w:r>
    </w:p>
    <w:p>
      <w:pPr>
        <w:spacing w:after="0" w:line="75"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Furthermore, due to the follow-up period, lengthy study duration and the requirement for on-site visits, subjects may drop out of our clinical trials at a higher rate than we anticipate or may elect to participate in alternative clinical trials sponsored by our competitors with product candidates that treat the same indications as rilparencel and any future product candidates. Even if we are able to enroll a sufficient number of subjects for our clinical trials, we may have difficulty maintaining enrollment of such subjects in our clinical trials.</w:t>
      </w:r>
    </w:p>
    <w:p>
      <w:pPr>
        <w:spacing w:after="0" w:line="72" w:lineRule="exact"/>
        <w:rPr>
          <w:sz w:val="20"/>
          <w:szCs w:val="20"/>
          <w:color w:val="auto"/>
        </w:rPr>
      </w:pPr>
    </w:p>
    <w:p>
      <w:pPr>
        <w:ind w:right="160" w:firstLine="509"/>
        <w:spacing w:after="0" w:line="252" w:lineRule="auto"/>
        <w:rPr>
          <w:sz w:val="20"/>
          <w:szCs w:val="20"/>
          <w:color w:val="auto"/>
        </w:rPr>
      </w:pPr>
      <w:r>
        <w:rPr>
          <w:rFonts w:ascii="Times New Roman" w:cs="Times New Roman" w:eastAsia="Times New Roman" w:hAnsi="Times New Roman"/>
          <w:sz w:val="18"/>
          <w:szCs w:val="18"/>
          <w:color w:val="auto"/>
        </w:rPr>
        <w:t>In addition, Congress recently amended the FDCA to require sponsors of a Phase 3 clinical trial, or other “pivotal study” of a new drug or biologic to support marketing authorization, to design and submit a diversity action plan for such clinical trial. The action plan must describe appropriate diversity goals for enrollment, as well as a rationale for the goals and a description of how the sponsor will meet them. Our Phase 3 PROACT 1 study was initiated before this requirement became effective, but for any future Phase 3 trials we plan to conduct, we must submit a diversity action plan to the FDA by the time we submit plans for such Phase 3, or pivotal study, protocol to the agency for review as part of an IND, unless we are able to obtain a waiver for some or all of the requirements for a diversity action plan. It is unknown at this time how the diversity action plan may affect the planning and timing of any future Phase 3 trial for our product candidates but initiation of such trials may be delayed if the FDA objects to our proposed diversity action plan. We may experience difficulties recruiting a diverse population of subjects in attempting to fulfill the requirements of any approved diversity action plan.</w:t>
      </w:r>
    </w:p>
    <w:p>
      <w:pPr>
        <w:spacing w:after="0" w:line="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05" w:right="6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The design or execution of our ongoing and future clinical trials may not support marketing approval.</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design or execution of a clinical trial can determine whether its results will support marketing approval, and flaws in the design or execution of a clinical trial may not become apparent until the clinical trial is well advanced. 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by investigators and subject to protocol requirements and the rate of dropout among clinical trial subjects. We do not know whether any clinical trials we conduct will demonstrate consistent or adequate efficacy and safety to obtain the marketing approvals necessary to commercialize rilparencel or any of our future product candidates.</w:t>
      </w:r>
    </w:p>
    <w:p>
      <w:pPr>
        <w:spacing w:after="0" w:line="7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Further, the FDA and comparable foreign regulatory authorities have substantial discretion in the approval process and in determining when or whether marketing approval will be obtained for rilparencel or any of our future product candidates. Rilparencel may not be approved even if it achieves its primary endpoints in our ongoing Phase 3 clinical trial or other future registrational trials. The FDA or comparable foreign regulatory authorities may disagree with our trial designs and our interpretation of data from nonclinical studies or clinical trials. 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rilparencel or any of our future product candidates, if approved.</w:t>
      </w:r>
    </w:p>
    <w:p>
      <w:pPr>
        <w:spacing w:after="0" w:line="29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obtained RMAT Designation from the FDA for rilparencel, but this may not lead to a faster development or regulatory review process, and such designation does not increase the likelihood that any of our product candidates will receive marketing approval in the United States and the FDA may withdraw such designation.</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RMAT designation is intended to expedite the development and review of product candidates that are designed to treat serious or life-threatening diseases and unmet need when “preliminary clinical evidence indicates that a product candidate may demonstrate substantial improvement over existing therapies on one or more clinically significant endpoints, such as substantial treatment effects observed early in clinical development.” The designation of rilparencel with expedited designation provides potential benefits that 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cell therapy program, beginning as early as Phase 1; organizational commitment involving senior managers; and eligibility for rolling review and priority review if supported by clinical data at the time of the submission of the BLA.</w:t>
      </w:r>
    </w:p>
    <w:p>
      <w:pPr>
        <w:spacing w:after="0" w:line="8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Cell and gene therapies, therapeutic tissue engineered products, human cell and tissue products, and combination products using any such therapies or products that are intended to treat, modify, reverse, or cure a serious or life-threatening disease or condition are eligible for designation by the FDA as RMATs. The RMAT designation is intended to facilitate efficient development and expedite review of regenerative medicine therapies by offering eligibility for priority review or accelerated approval, as well as early interactions with FDA to discuss any potential surrogate or intermediate endpoint to be used to support accelerated approval.</w:t>
      </w:r>
    </w:p>
    <w:p>
      <w:pPr>
        <w:spacing w:after="0" w:line="75"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We applied for RMAT designation for rilparencel, which was granted by the FDA on October 28, 2021. As contemplated by the RMAT designation and as directed by the FDA, we requested a comprehensive, multidisciplinary Type B meeting with the FDA to review the status of preclinical and clinical development and manufacturing of rilparencel, and to discuss the planned clinical program intended to support approval of the product candidate. The FDA provided detailed written responses to our questions included in the meeting request, and the Type B meeting was held in March 2022. As a result of that meeting, we will continue to advance the clinical development program for rilparencel in the United States with the benefit of enhanced clarity as to the FDA’s expectations and requirements for a registrational program, including the design of the trials needed for approval, manufacturing assays, and comparability studies. In 2024, we had a Type B meeting with the FDA to discuss updates to rilparencel’s registrational trial strategy. The FDA confirmed that PROACT 1 could be sufficient to support a potential BLA submission and confirmed that the accelerated approval pathway is available to rilparencel. We will continue to engage with the FDA to further define the details supporting this accelerated pathway. The FDA’s input is more fully set forth under the heading “Phase 3 Clinical Development: REGEN-006 (PROACT 1) and REGEN-016 (PROACT 2)” in the section titled “</w:t>
      </w:r>
      <w:r>
        <w:rPr>
          <w:rFonts w:ascii="Times New Roman" w:cs="Times New Roman" w:eastAsia="Times New Roman" w:hAnsi="Times New Roman"/>
          <w:sz w:val="18"/>
          <w:szCs w:val="18"/>
          <w:i w:val="1"/>
          <w:iCs w:val="1"/>
          <w:color w:val="auto"/>
        </w:rPr>
        <w:t>Part I—Item 1, Business.</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Even though we obtained RMAT designation in October 2021, such a designation does not change the standards for product approval, and there is no assurance that this designation will result in expedited review or approval or that the approved indication will not be narrower than the indication covered by RMAT designation. Thus, even though RMAT designation was granted for rilparencel, we may not experience a faster development process, review or marketing approval compared to conventional FDA procedures. The FDA may withdraw RMAT designation if it believes that the product no longer meets the qualifying criteria. It is</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5" w:right="599" w:bottom="1440" w:gutter="0" w:footer="0" w:header="0"/>
        </w:sectPr>
      </w:pPr>
    </w:p>
    <w:bookmarkStart w:id="52" w:name="page53"/>
    <w:bookmarkEnd w:id="52"/>
    <w:p>
      <w:pPr>
        <w:ind w:right="480"/>
        <w:spacing w:after="0" w:line="266" w:lineRule="auto"/>
        <w:rPr>
          <w:sz w:val="20"/>
          <w:szCs w:val="20"/>
          <w:color w:val="auto"/>
        </w:rPr>
      </w:pPr>
      <w:r>
        <w:rPr>
          <w:rFonts w:ascii="Times New Roman" w:cs="Times New Roman" w:eastAsia="Times New Roman" w:hAnsi="Times New Roman"/>
          <w:sz w:val="18"/>
          <w:szCs w:val="18"/>
          <w:color w:val="auto"/>
        </w:rPr>
        <w:t>also possible that the FDA could provide further input on our trial design, in which case our timelines to completion of the clinical development of rilparencel could be delayed. Our business may be harmed if we are unable to avail ourselves of these or any other expedited development and regulatory pathways.</w:t>
      </w:r>
    </w:p>
    <w:p>
      <w:pPr>
        <w:spacing w:after="0" w:line="145"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must focus on development programs and product candidates that we identify for specific indications. As such, we are only focused on the development of rilparencel for the treatment of CKD.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may in the future continue to conduct additional clinical trials for rilparencel outside the United States, and the FDA and similar foreign regulatory authorities may not accept data from such trials conducted in locations outside of their jurisdiction.</w:t>
      </w:r>
    </w:p>
    <w:p>
      <w:pPr>
        <w:spacing w:after="0" w:line="37"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have conducted additional clinical trials for rilparencel in the Asia-Pacific region, European Union, and Latin America, and may in the future continue to conduct clinical trials outside the United States or other foreign jurisdictions. The acceptance of data from clinical trials conducted outside the United States by the FDA may be subject to certain conditions or may be rejected.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in compliance with GCP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clinical trials would be subject to the applicable local laws of the foreign jurisdictions where the trials are conducted. There can be no assurance that the FDA or any similar foreign regulatory authority will accept data from clinical trials conducted outside of the United States or the applicable jurisdiction. If the FDA or any similar foreign regulatory authority does not accept such data, it would result in the need for additional clinical trials, which would be costly and time-consuming and delay aspects of our business plan, and which may result in rilparencel not receiving approval or clearance for commercialization in the applicable jurisdiction.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in the future.</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research programs may initially show promise in identifying potential product candidates, yet fail to yield product candidates for clinical development for a number of reasons, including:</w:t>
      </w:r>
    </w:p>
    <w:p>
      <w:pPr>
        <w:spacing w:after="0" w:line="162" w:lineRule="exact"/>
        <w:rPr>
          <w:sz w:val="20"/>
          <w:szCs w:val="20"/>
          <w:color w:val="auto"/>
        </w:rPr>
      </w:pPr>
    </w:p>
    <w:p>
      <w:pPr>
        <w:ind w:left="1320" w:hanging="472"/>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design such product candidates with the pharmacological properties that we desire or attractive pharmacokinetics;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design and develop a suitable manufacturing process; or</w:t>
      </w:r>
    </w:p>
    <w:p>
      <w:pPr>
        <w:spacing w:after="0" w:line="225"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270"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Research programs to identify new product candidates require substantial technical, financial and human resources. If we are unable to identify suitable compounds for clinical development, we will not be able to obtain product revenue in future periods, which likely would result in significant harm to our financial position.</w:t>
      </w:r>
    </w:p>
    <w:p>
      <w:pPr>
        <w:spacing w:after="0" w:line="280"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must make decisions on the allocation of resources to certain programs and product candidates; these decisions may prove to be wrong and may adversely affect our business.</w:t>
      </w:r>
    </w:p>
    <w:p>
      <w:pPr>
        <w:spacing w:after="0" w:line="51" w:lineRule="exact"/>
        <w:rPr>
          <w:sz w:val="20"/>
          <w:szCs w:val="20"/>
          <w:color w:val="auto"/>
        </w:rPr>
      </w:pPr>
    </w:p>
    <w:p>
      <w:pPr>
        <w:ind w:right="340" w:firstLine="509"/>
        <w:spacing w:after="0" w:line="254" w:lineRule="auto"/>
        <w:rPr>
          <w:sz w:val="20"/>
          <w:szCs w:val="20"/>
          <w:color w:val="auto"/>
        </w:rPr>
      </w:pPr>
      <w:r>
        <w:rPr>
          <w:rFonts w:ascii="Times New Roman" w:cs="Times New Roman" w:eastAsia="Times New Roman" w:hAnsi="Times New Roman"/>
          <w:sz w:val="18"/>
          <w:szCs w:val="18"/>
          <w:color w:val="auto"/>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may seek to accelerate our development timelines, including by initiating certain clinical trials of rilparencel or our future product candidates before earlier-stage studies have been completed. This approach may cause us to commit significant resources to prepare for and</w:t>
      </w:r>
    </w:p>
    <w:p>
      <w:pPr>
        <w:spacing w:after="0" w:line="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93" w:right="539" w:bottom="1440" w:gutter="0" w:footer="0" w:header="0"/>
        </w:sectPr>
      </w:pPr>
    </w:p>
    <w:bookmarkStart w:id="53" w:name="page54"/>
    <w:bookmarkEnd w:id="53"/>
    <w:p>
      <w:pPr>
        <w:ind w:right="60"/>
        <w:spacing w:after="0" w:line="266" w:lineRule="auto"/>
        <w:rPr>
          <w:sz w:val="20"/>
          <w:szCs w:val="20"/>
          <w:color w:val="auto"/>
        </w:rPr>
      </w:pPr>
      <w:r>
        <w:rPr>
          <w:rFonts w:ascii="Times New Roman" w:cs="Times New Roman" w:eastAsia="Times New Roman" w:hAnsi="Times New Roman"/>
          <w:sz w:val="18"/>
          <w:szCs w:val="18"/>
          <w:color w:val="auto"/>
        </w:rPr>
        <w:t>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spacing w:after="0" w:line="68"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ever be able to identify additional therapeutic opportunities for rilparencel or our future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2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our products may be delayed or never achieved.</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rilparencel or any of our future product candidates.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Rilparencel and Our Future Product Candidates</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Cell therapies are complex and difficult to manufacture, and we have experienced and may continue to experience manufacturing problems that result in delays in the development or commercialization of rilparencel, our lead product candidate, or otherwise harm our business.</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manufacture of cell therapy products is technically complex and necessitates substantial expertise and capital investment. Production difficulties caused by unforeseen events may delay the availability of material for our clinical trials. Further, we are not aware of any other cell therapy that has been manufactured for a market of the anticipated size for rilparencel. If rilparencel is approved for commercial sale, as to which no assurance can be given, we may be unable to meet market demand for the product in a timely manner due to the complex processes that are involved in its manufacturing.</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Additionally, all entities involved in the preparation of therapeutics for clinical trials or commercial sale are subject to extensive cGMP, state and federal regulations, as well as foreign requirements when applicable. An audit in 2023 by the Company’s contracted Qualified Person (QP) to evaluate our readiness for release and distribution of rilparencel in the EU identified certain deficiencies in the documentation of the quality management systems to be addressed prior to release and distribution of product for EU clinical sites. Manufacturing was subsequently paused while we optimized our capabilities to meet EU and global standards for our Phase 3 program. Of note, no safety events necessitated this pause. After undergoing a thorough remediation process in the first half of 2024, we resumed manufacturing for U.S. and non-European clinical study sites in June 2024, and in July 2024, we received the Qualified Person (QP) Declaration of Equivalence to European Union Good Manufacturing Practice (GMP) standards.</w:t>
      </w:r>
    </w:p>
    <w:p>
      <w:pPr>
        <w:spacing w:after="0" w:line="8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Components of a finished therapeutic product approved for commercial sale or used in late-stage clinical trials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rilparencel that may not be detectable in final product testing. We must supply all necessary documentation in support of a BLA on a timely basis. Our facilities and quality systems, including those of any third parties we contract with to manufacture any critical component of the final product, must pass a pre-approval inspection for compliance with the applicable regulations as a condition of regulatory approval of rilparencel or any of our other potential products. In addition, the FDA and other regulatory authorities may, at any time, audit or inspect a manufacturing facility involved with the preparation of rilparencel or our other potential products or the associated quality systems for compliance with the regulations applicable to the activities being conducted at such facilities, and they could put a hold on one or more of our clinical trials if our facilities, or those of our contracted third parties, do not pass such audits or inspections. If such facilities do not pass a pre-approval plant inspection, FDA approval of the products will not be granted. Any failure to adhere to or document compliance with such regulatory requirements could lead to a delay or interruption in the availability of rilparencel for clinical trials or enforcement action from the FDA or foreign regulatory authorities. If we or our suppliers were to fail to comply with the requirements of the FDA or other regulatory authority, it could result in regulatory actions or sanctions being imposed on us, including the issuance of Form FDA 483 notices of inspectional observations, warning letters or untitled letters, clinical holds, fines, injunctions, civil penalties, delays, suspension or withdrawal of approvals, license revocation, seizures or recalls of product candidates or products, operating restrictions and criminal prosecutions, any of which could significantly and adversely affect</w:t>
      </w:r>
    </w:p>
    <w:p>
      <w:pPr>
        <w:spacing w:after="0" w:line="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54" w:name="page55"/>
    <w:bookmarkEnd w:id="54"/>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supplies of rilparencel. Our potential future dependence upon others for the manufacture of rilparencel may also adversely affect our future profit margins and our ability to commercialize rilparencel or any future product candidates that receive regulatory approval on a timely and competitive basis.</w:t>
      </w:r>
    </w:p>
    <w:p>
      <w:pPr>
        <w:spacing w:after="0" w:line="68"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Biological products are inherently difficult to manufacture. Rilparencel is manufactured using technically complex processes requiring specialized equipment and facilities, highly specific raw materials, autologous cells collected from patients, and reagents, and the process involves various production constraints. Even though we aim to have backup supplies of raw materials and reagents whenever possible, we cannot be certain they will be sufficient if our primary sources are unavailable. A shortage of a critical raw material or reagent, or a technical issue during manufacturing may lead to delays in clinical development or commercialization plans. Any changes in the manufacturing of components of the raw materials we use could result in unanticipated or unfavorable effects in our manufacturing processes, resulting in delays.</w:t>
      </w:r>
    </w:p>
    <w:p>
      <w:pPr>
        <w:spacing w:after="0" w:line="79"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Delays or failures in the manufacture of cell therapies can result in a patient being unable to receive their cell therapy or a requirement to re-manufacture which itself then causes delays in manufacture for other patients. Any delay or failure or inability to manufacture on a timely basis can adversely affect a patient’s outcomes and delay the timelines for our clinical trials. Such delays or failure or inability to manufacture can result from:</w:t>
      </w:r>
    </w:p>
    <w:p>
      <w:pPr>
        <w:spacing w:after="0" w:line="176" w:lineRule="exact"/>
        <w:rPr>
          <w:sz w:val="20"/>
          <w:szCs w:val="20"/>
          <w:color w:val="auto"/>
        </w:rPr>
      </w:pPr>
    </w:p>
    <w:p>
      <w:pPr>
        <w:jc w:val="both"/>
        <w:ind w:left="1320" w:right="60" w:hanging="472"/>
        <w:spacing w:after="0" w:line="266" w:lineRule="auto"/>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manufacturing process itself, for example by an error in manufacturing equipment or reagent failure, failure in any step of the manufacturing process, failure to maintain a cGMP environment or failure in quality systems applicable to manufacture, sterility failures, or contamination during process;</w:t>
      </w:r>
    </w:p>
    <w:p>
      <w:pPr>
        <w:spacing w:after="0" w:line="175" w:lineRule="exact"/>
        <w:rPr>
          <w:rFonts w:ascii="Times New Roman" w:cs="Times New Roman" w:eastAsia="Times New Roman" w:hAnsi="Times New Roman"/>
          <w:sz w:val="18"/>
          <w:szCs w:val="18"/>
          <w:color w:val="auto"/>
        </w:rPr>
      </w:pPr>
    </w:p>
    <w:p>
      <w:pPr>
        <w:ind w:left="1320" w:hanging="472"/>
        <w:spacing w:after="0" w:line="261" w:lineRule="auto"/>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loss or failure due to logistical issues associated with the collection of a patient’s autologous cells or other samples, shipping that material to analytical laboratories, and shipping the final cell therapy back to the location using cold chain distribution where it will be administered to the patient, manufacturing issues associated with the differences in patient starting materials, inconsistency in cell growth and variability in product characteristics;</w:t>
      </w:r>
    </w:p>
    <w:p>
      <w:pPr>
        <w:spacing w:after="0" w:line="179" w:lineRule="exact"/>
        <w:rPr>
          <w:rFonts w:ascii="Times New Roman" w:cs="Times New Roman" w:eastAsia="Times New Roman" w:hAnsi="Times New Roman"/>
          <w:sz w:val="18"/>
          <w:szCs w:val="18"/>
          <w:color w:val="auto"/>
        </w:rPr>
      </w:pPr>
    </w:p>
    <w:p>
      <w:pPr>
        <w:ind w:left="1320" w:right="80" w:hanging="472"/>
        <w:spacing w:after="0" w:line="266" w:lineRule="auto"/>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reliability or reproducibility in the manufacturing process itself, leading to variability in end manufacture of the cell therapy, which may lead to regulatory authorities placing a hold on a clinical trial or requesting further information on the process, which could in turn result in delays to the clinical trials;</w:t>
      </w:r>
    </w:p>
    <w:p>
      <w:pPr>
        <w:spacing w:after="0" w:line="175" w:lineRule="exact"/>
        <w:rPr>
          <w:rFonts w:ascii="Times New Roman" w:cs="Times New Roman" w:eastAsia="Times New Roman" w:hAnsi="Times New Roman"/>
          <w:sz w:val="18"/>
          <w:szCs w:val="18"/>
          <w:color w:val="auto"/>
        </w:rPr>
      </w:pPr>
    </w:p>
    <w:p>
      <w:pPr>
        <w:ind w:left="1320" w:right="360" w:hanging="472"/>
        <w:spacing w:after="0" w:line="266" w:lineRule="auto"/>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loss or failure due to logistical issues including issues associated with the differences between patients’ autologous cells or characteristics, interruptions to process, contamination, failure to supply patient apheresis material within required timescales (for example, as a result of an import or export hold-up) or supplier error;</w:t>
      </w:r>
    </w:p>
    <w:p>
      <w:pPr>
        <w:spacing w:after="0" w:line="17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have enough manufacturing slots to manufacture cell therapies for patients as and when those patients require manufacture;</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starting materials or to manufacture starting materials;</w:t>
      </w:r>
    </w:p>
    <w:p>
      <w:pPr>
        <w:spacing w:after="0" w:line="225" w:lineRule="exact"/>
        <w:rPr>
          <w:rFonts w:ascii="Times New Roman" w:cs="Times New Roman" w:eastAsia="Times New Roman" w:hAnsi="Times New Roman"/>
          <w:sz w:val="18"/>
          <w:szCs w:val="18"/>
          <w:color w:val="auto"/>
        </w:rPr>
      </w:pPr>
    </w:p>
    <w:p>
      <w:pPr>
        <w:ind w:left="1320" w:right="20" w:hanging="472"/>
        <w:spacing w:after="0" w:line="261" w:lineRule="auto"/>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our supply chain, which may require us to find an alternative manufacturer or supplier for one or more components that we need in the manufacture of rilparencel, which would in turn require such manufacturer or supplier to be qualified through a BLA supplement, could lead the regulatory agencies to require additional studies if a new manufacturer is relied upon for commercial production, and may involve substantial costs and delays related to switching manufacturers;</w:t>
      </w:r>
    </w:p>
    <w:p>
      <w:pPr>
        <w:spacing w:after="0" w:line="179" w:lineRule="exact"/>
        <w:rPr>
          <w:rFonts w:ascii="Times New Roman" w:cs="Times New Roman" w:eastAsia="Times New Roman" w:hAnsi="Times New Roman"/>
          <w:sz w:val="18"/>
          <w:szCs w:val="18"/>
          <w:color w:val="auto"/>
        </w:rPr>
      </w:pPr>
    </w:p>
    <w:p>
      <w:pPr>
        <w:ind w:left="1320" w:right="360" w:hanging="472"/>
        <w:spacing w:after="0" w:line="282" w:lineRule="auto"/>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close-down of any manufacturing facility used in the manufacture of our cell therapies, or the inability to find alternative manufacturing capability in a timely fashion;</w:t>
      </w:r>
    </w:p>
    <w:p>
      <w:pPr>
        <w:spacing w:after="0" w:line="161" w:lineRule="exact"/>
        <w:rPr>
          <w:rFonts w:ascii="Times New Roman" w:cs="Times New Roman" w:eastAsia="Times New Roman" w:hAnsi="Times New Roman"/>
          <w:sz w:val="18"/>
          <w:szCs w:val="18"/>
          <w:color w:val="auto"/>
        </w:rPr>
      </w:pPr>
    </w:p>
    <w:p>
      <w:pPr>
        <w:ind w:left="1320" w:right="900" w:hanging="472"/>
        <w:spacing w:after="0" w:line="282" w:lineRule="auto"/>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contamination of patient starting material, requiring the starting material to be obtained again from the patient or the manufacturing process to be re-started; and</w:t>
      </w:r>
    </w:p>
    <w:p>
      <w:pPr>
        <w:spacing w:after="0" w:line="161" w:lineRule="exact"/>
        <w:rPr>
          <w:rFonts w:ascii="Times New Roman" w:cs="Times New Roman" w:eastAsia="Times New Roman" w:hAnsi="Times New Roman"/>
          <w:sz w:val="18"/>
          <w:szCs w:val="18"/>
          <w:color w:val="auto"/>
        </w:rPr>
      </w:pPr>
    </w:p>
    <w:p>
      <w:pPr>
        <w:jc w:val="both"/>
        <w:ind w:left="1320" w:right="120" w:hanging="472"/>
        <w:spacing w:after="0" w:line="266" w:lineRule="auto"/>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modify or make changes to any manufacturing process, which may also require comparability testing that delays our ability to make the required modifications or perform any required comparability testing in a timely fashion, require further regulatory approval or require successful tech transfer to CDMOs to continue manufacturing.</w:t>
      </w:r>
    </w:p>
    <w:p>
      <w:pPr>
        <w:spacing w:after="0" w:line="28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These factors could cause the delay of clinical trials, regulatory submissions, required approvals or commercialization of rilparencel, cause us to incur higher costs and prevent us from commercializing rilparencel successfully, if approved.</w:t>
      </w:r>
    </w:p>
    <w:p>
      <w:pPr>
        <w:spacing w:after="0" w:line="54"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We intend to improve bioprocess development to reduce manufacturing costs of the commercial rilparencel product, assuming receipt of necessary regulatory approvals. Culture media represents the highest cost in rilparencel processing, and we are exploring reduced culture media usage via bioprocess and automation improvements. Further, our final commercial rilparencel product is planned to be a cryopreserved formulation, which is projected to reduce manufacturing costs compared to our fresh rilparencel formulation. We expect to leverage bulk purchasing to actively negotiate pricing of materials to further drive cost reductions. However, there can be no assurance that the manufacturing costs for our Phase 3 trial(s) when we manufacture rilparencel at commercial scale will actually be lower than for our Phase 2 RMCL-002 study. A number of factors may contribute to an inability to achieve these cost reductions, including any failures to achieve the automation efficiencies that we anticipate, cost overruns or inefficiencies in the supply chain, and any failure to improve the formulation or bioprocessing of rilparencel in a manner that results in lower costs.</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3"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our own manufacturing capabilities, which may result in increased costs being incurred by us.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manufacturing facility for rilparencel is within our Winston-Salem, North Carolina facility, and this facility currently manufactures SRC for use in our clinical trials. Regulatory authorities, in particular the FDA, might not continue to approve our ability to manufacture SRC or other cell therapies at the Winston-Salem facility.</w:t>
      </w:r>
    </w:p>
    <w:p>
      <w:pPr>
        <w:spacing w:after="0" w:line="68"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Our ability to successfully manufacture our own cell therapies at the Winston-Salem facility within a reasonable period of time and within currently projected costs is dependent on a number of factors, including:</w:t>
      </w:r>
    </w:p>
    <w:p>
      <w:pPr>
        <w:spacing w:after="0" w:line="162" w:lineRule="exact"/>
        <w:rPr>
          <w:sz w:val="20"/>
          <w:szCs w:val="20"/>
          <w:color w:val="auto"/>
        </w:rPr>
      </w:pPr>
    </w:p>
    <w:p>
      <w:pPr>
        <w:ind w:left="1320" w:right="800" w:hanging="472"/>
        <w:spacing w:after="0" w:line="282" w:lineRule="auto"/>
        <w:tabs>
          <w:tab w:leader="none" w:pos="1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the required employees at a suitable level and experience and within required timescales and to maintain employment of such required employees;</w:t>
      </w:r>
    </w:p>
    <w:p>
      <w:pPr>
        <w:spacing w:after="0" w:line="161" w:lineRule="exact"/>
        <w:rPr>
          <w:rFonts w:ascii="Times New Roman" w:cs="Times New Roman" w:eastAsia="Times New Roman" w:hAnsi="Times New Roman"/>
          <w:sz w:val="18"/>
          <w:szCs w:val="18"/>
          <w:color w:val="auto"/>
        </w:rPr>
      </w:pPr>
    </w:p>
    <w:p>
      <w:pPr>
        <w:ind w:left="1320" w:right="100" w:hanging="472"/>
        <w:spacing w:after="0" w:line="282" w:lineRule="auto"/>
        <w:tabs>
          <w:tab w:leader="none" w:pos="1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the facility and for the manufacture of cell therapies at the facility and to satisfy regulatory authorities on an ongoing basis;</w:t>
      </w:r>
    </w:p>
    <w:p>
      <w:pPr>
        <w:spacing w:after="0" w:line="161" w:lineRule="exact"/>
        <w:rPr>
          <w:rFonts w:ascii="Times New Roman" w:cs="Times New Roman" w:eastAsia="Times New Roman" w:hAnsi="Times New Roman"/>
          <w:sz w:val="18"/>
          <w:szCs w:val="18"/>
          <w:color w:val="auto"/>
        </w:rPr>
      </w:pPr>
    </w:p>
    <w:p>
      <w:pPr>
        <w:ind w:left="1320" w:right="1100" w:hanging="472"/>
        <w:spacing w:after="0" w:line="282" w:lineRule="auto"/>
        <w:tabs>
          <w:tab w:leader="none" w:pos="1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cell therapies reliably and reproducibly and to timescales sufficient to support required patient administration;</w:t>
      </w:r>
    </w:p>
    <w:p>
      <w:pPr>
        <w:spacing w:after="0" w:line="161" w:lineRule="exact"/>
        <w:rPr>
          <w:rFonts w:ascii="Times New Roman" w:cs="Times New Roman" w:eastAsia="Times New Roman" w:hAnsi="Times New Roman"/>
          <w:sz w:val="18"/>
          <w:szCs w:val="18"/>
          <w:color w:val="auto"/>
        </w:rPr>
      </w:pPr>
    </w:p>
    <w:p>
      <w:pPr>
        <w:ind w:left="1320" w:right="140" w:hanging="472"/>
        <w:spacing w:after="0" w:line="282" w:lineRule="auto"/>
        <w:tabs>
          <w:tab w:leader="none" w:pos="1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cell therapies in compliance with the applicable regulatory requirements, including requirements applicable in both the United States and the European Union, including cGMP, enforced by the FDA and state regulatory authorities;</w:t>
      </w:r>
    </w:p>
    <w:p>
      <w:pPr>
        <w:spacing w:after="0" w:line="161" w:lineRule="exact"/>
        <w:rPr>
          <w:rFonts w:ascii="Times New Roman" w:cs="Times New Roman" w:eastAsia="Times New Roman" w:hAnsi="Times New Roman"/>
          <w:sz w:val="18"/>
          <w:szCs w:val="18"/>
          <w:color w:val="auto"/>
        </w:rPr>
      </w:pPr>
    </w:p>
    <w:p>
      <w:pPr>
        <w:ind w:left="1320" w:right="600" w:hanging="472"/>
        <w:spacing w:after="0" w:line="282" w:lineRule="auto"/>
        <w:tabs>
          <w:tab w:leader="none" w:pos="1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internal quality controls and processes sufficient to enable manufacture and supply of cell therapies at our Winston-Salem facility;</w:t>
      </w:r>
    </w:p>
    <w:p>
      <w:pPr>
        <w:spacing w:after="0" w:line="161"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comparability with currently used manufacturing processes and for such comparability data to be accepted by the appropriate regulatory authorities; and</w:t>
      </w:r>
    </w:p>
    <w:p>
      <w:pPr>
        <w:spacing w:after="0" w:line="161" w:lineRule="exact"/>
        <w:rPr>
          <w:rFonts w:ascii="Times New Roman" w:cs="Times New Roman" w:eastAsia="Times New Roman" w:hAnsi="Times New Roman"/>
          <w:sz w:val="18"/>
          <w:szCs w:val="18"/>
          <w:color w:val="auto"/>
        </w:rPr>
      </w:pPr>
    </w:p>
    <w:p>
      <w:pPr>
        <w:ind w:left="1320" w:right="240" w:hanging="472"/>
        <w:spacing w:after="0" w:line="282" w:lineRule="auto"/>
        <w:tabs>
          <w:tab w:leader="none" w:pos="1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ongoing development, including equipment requirements necessary for successful manufacture of cell therapies at our facility.</w:t>
      </w:r>
    </w:p>
    <w:p>
      <w:pPr>
        <w:spacing w:after="0" w:line="270"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Any further delay or failure in manufacture at our facility could result in delays to the supply of cell therapies for our clinical trials. Should we become unable to produce cell therapies for use in our clinical trials or be unable to produce cell therapies at the required level, then we will be unable to support such clinical trials until alternative manufacturing capability is secured.</w:t>
      </w:r>
    </w:p>
    <w:p>
      <w:pPr>
        <w:spacing w:after="0" w:line="28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 development and manufacturing organizations have a finite cell manufacturing capacity, which could inhibit the long-term growth prospects of our business.</w:t>
      </w:r>
    </w:p>
    <w:p>
      <w:pPr>
        <w:spacing w:after="0" w:line="5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currently produce materials for our clinical trials at our facility in Winston-Salem, North Carolina. It is possible that the demand for our products could exceed existing manufacturing capacity. We expect that, as our own cell therapy development programs progress and demand for cell therapy services in the industry expand, it may become necessary or desirable for us to expand our manufacturing vendors for cell therapy services and products in the future, which may require us to invest significant amounts of capital and to obtain regulatory approvals. If manufacturers are unable to meet our rising demand for products and services on a timely basis or unable to maintain cGMP/cGTP compliance standards, then it is likely that the progress of our own programs will be impaired which could materially and adversely affect the overall success of our development programs.</w:t>
      </w:r>
    </w:p>
    <w:p>
      <w:pPr>
        <w:spacing w:after="0" w:line="7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Components of therapeutic products approved for commercial sale or used in late-stage clinical trials must be manufactured in accordance with cGMPs and manufacturers of cell-based product candidates must comply with cGTPs. In addition, manufacturers of therapeutic products may be required to modify their manufacturing processes from time to time in response to regulatory requests. The manufacture of live cellular-based products is complex and imposes significant regulatory burdens that may change over time. We may encounter difficulties in the production of our product candidates due to our limited manufacturing experience.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autologous cell therapy products are patient-specific, and we need to ensure that the correct product is administered to the correct patient.</w:t>
      </w:r>
    </w:p>
    <w:p>
      <w:pPr>
        <w:spacing w:after="0" w:line="121" w:lineRule="exact"/>
        <w:rPr>
          <w:sz w:val="20"/>
          <w:szCs w:val="20"/>
          <w:color w:val="auto"/>
        </w:rPr>
      </w:pPr>
    </w:p>
    <w:p>
      <w:pPr>
        <w:ind w:right="160" w:firstLine="509"/>
        <w:spacing w:after="0" w:line="252" w:lineRule="auto"/>
        <w:rPr>
          <w:sz w:val="20"/>
          <w:szCs w:val="20"/>
          <w:color w:val="auto"/>
        </w:rPr>
      </w:pPr>
      <w:r>
        <w:rPr>
          <w:rFonts w:ascii="Times New Roman" w:cs="Times New Roman" w:eastAsia="Times New Roman" w:hAnsi="Times New Roman"/>
          <w:sz w:val="18"/>
          <w:szCs w:val="18"/>
          <w:color w:val="auto"/>
        </w:rPr>
        <w:t>Administration of autologous cell therapies is patient-specific and personalized medicine. The process requires careful handling of patient-specific products and fail-safe tracking to ensure that the tracking process is without error and that patient samples are tracked from patient collection, through manufacturing and re-administration to the same patient. While such mechanisms are in place, should the tracking process fail, whether at our own facility, a third-party facility or at any point in the manufacturing process and supply chain, a patient could receive another patient’s SRC, resulting in significant toxicity and potentially patient fatality. We will need to invest in enhanced systems, such as bar coding and electronic chain of identity and chain of custody systems to further ensure fail-safe tracking. There is always a risk of a failure in any such system. Inability to develop or adopt an acceptable fail-safe tracking methodology and handling regime may delay or prevent us from receiving regulatory approval and/or result in significant toxicity and potentially patient fatality if a patient receives another patient’s SRC. This risk may be increased where autologous cell therapies are used in clinical trials that we do not control or sponsor and, should an error be made in the administration of our autologous cell therapies in such clinical trials, this could affect the steps required in our own clinical trials and manufacturing process requiring the addition of further tracking mechanisms to ensure fail-safe tracking.</w:t>
      </w:r>
    </w:p>
    <w:p>
      <w:pPr>
        <w:spacing w:after="0" w:line="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5" w:right="459" w:bottom="1440" w:gutter="0" w:footer="0" w:header="0"/>
        </w:sectPr>
      </w:pPr>
    </w:p>
    <w:bookmarkStart w:id="56" w:name="page57"/>
    <w:bookmarkEnd w:id="56"/>
    <w:p>
      <w:pPr>
        <w:ind w:right="120"/>
        <w:spacing w:after="0" w:line="261" w:lineRule="auto"/>
        <w:rPr>
          <w:sz w:val="20"/>
          <w:szCs w:val="20"/>
          <w:color w:val="auto"/>
        </w:rPr>
      </w:pPr>
      <w:r>
        <w:rPr>
          <w:rFonts w:ascii="Times New Roman" w:cs="Times New Roman" w:eastAsia="Times New Roman" w:hAnsi="Times New Roman"/>
          <w:sz w:val="18"/>
          <w:szCs w:val="18"/>
          <w:color w:val="auto"/>
        </w:rPr>
        <w:t>The tracking systems required to further ensure safe patient administration may also require enhanced procedures and administration to satisfy other regulatory requirements, for example, data protection requirements in Europe. The need to ensure tracking systems are adequate and to comply with these additional regulatory requirements may result in delay to the start of clinical trials or the need to obtain additional regulatory licenses or consents prior to starting such trials.</w:t>
      </w:r>
    </w:p>
    <w:p>
      <w:pPr>
        <w:spacing w:after="0" w:line="28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Delays in obtaining regulatory approval of the manufacturing process and facility to produce rilparencel or disruptions in the manufacturing process may delay or disrupt our commercialization efforts. Very few cGMP cell therapy manufacturing facilities in the United States have received approval from the FDA for the manufacture of an approved cell therapy product.</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Before we can begin to commercially manufacture rilparencel or any of our future product candidates, we must obtain regulatory approval from the FDA for our manufacturing processes and for the facility in which manufacturing is performed. Very few cGMP cell therapy manufacturing facilities in the United States have received approval from the FDA for the manufacture of an approved cell therapy product and, therefore, the timeframe required for us to obtain regulatory approval for our product candidates is uncertain. In addition, we must pass a pre-approval inspection of the manufacturing facility, including any facilities that produce any component of rilparencel, by the FDA and other relevant regulatory authorities before rilparencel or any of our future cell therapy product candidates can obtain marketing approval.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86"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In order to obtain approval, we will need to ensure that all of our processes, quality systems, methods, equipment, policies and procedures are compliant with cGMP and other applicable regulations, and perform extensive audits of vendors, contract laboratories, and suppliers. If any of our vendors, contract laboratories, or suppliers is found to be out of compliance with cGMP or other applicable regulations relating to rilparencel, we may experience delays or disruptions in manufacturing while we work with such third parties to remedy the violation or while we work to identify suitable replacement vendors. The cGMP requirements govern, among other things, quality control of the manufacturing process and documentation policies and procedures. In complying with cGMP regulations, we will be obligated to spend time, money and effort in production, record keeping and quality control to assure that the product meets applicable specifications and other requirements. If we fail to comply with these requirements, we may be subject to regulatory enforcement actions or other legal sanctions and may not be permitted to sell any products that we may develop.</w:t>
      </w:r>
    </w:p>
    <w:p>
      <w:pPr>
        <w:spacing w:after="0" w:line="8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experience as a company managing a complex supply chain or satisfying manufacturing-related regulatory requirements.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FDA and other foreign regulatory authorities may require us to submit samples of any lot of any approved product together with the protocols showing the results of applicable lot release tests at any time. Under some circumstances, the FDA or other foreign regulatory authorities may require that we not distribute a product lot until the relevant agency authorizes its release. Slight deviations in the manufacturing process, including those affecting quality attributes and stability, may result in unacceptable changes in a cell therapy product that could lead to lot failures or product recalls. Lot failures or product recalls could cause us to delay product launches or clinical trials, which could be costly to us and otherwise harm our business, financial condition, results of operations and prospects. Problems in our manufacturing processes could restrict our ability to meet market demand for our products.</w:t>
      </w:r>
    </w:p>
    <w:p>
      <w:pPr>
        <w:spacing w:after="0" w:line="29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Managing an autologous ex vivo cell therapy supply chain is highly complex. We must identify, engage, and coordinate with treatment centers where patients’ cellular source material must be collected, prepared and transported to the manufacturing facility and the cryopreserved therapeutic product must be returned to the treatment center for administration to the patient using vapor phase liquid nitrogen shipping containers. Additionally, we are dependent on highly specialized vendors to provide raw materials and components for our manufacturing process.</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Once collected from the patient, the cellular source material must be prepared and stored according to specified procedures. While we intend to standardize the processes at treatment centers, if there is a deviation of the processes, the cellular source material from a patient could be adversely impacted and potentially result in manufacturing failures. The patient’s cellular materials must be transported to the manufacturing facility using a shipping container that maintains the material at a sufficiently cold temperature and must typically be delivered and processed within four days of collection. While we intend to use reputable couriers and agents for the transport of such materials, if the shipping container is opened or damaged such that the appropriate storage/shipping temperature is not maintained, the cellular source material may be adversely impacted and it may not be feasible</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57" w:name="page58"/>
    <w:bookmarkEnd w:id="57"/>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to manufacture a cell therapy product for the patient. Similarly, if a shipment is delayed due to adverse weather, misrouting, being held up at a customs point or other events, the cellular source material may not be delivered within a time window that will allow for its use for the successful manufacture of a cell therapy product.</w:t>
      </w:r>
    </w:p>
    <w:p>
      <w:pPr>
        <w:spacing w:after="0" w:line="6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Similarly, the patient’s autologous cell therapy product must be returned to the clinical site for administration to the patient using a specialized shipping container that maintains the material at a very low temperature. While we intend to use reputable couriers and agents for the transport of our products, if the shipping container is opened or damaged such that the very low temperature is not maintained, the cell therapy product may be adversely impacted and it may not be feasible to administer it to the patient or, if administered, it could cause harm to the patient. Similarly, if a shipment is delayed due to adverse weather, misrouting, being held up at a customs point or other events, and is not delivered to the clinical site within the time period that the very low temperature is maintained, the cell therapy product may be adversely affected and be unable to be administered or, if administered, could cause harm to the patient.</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may be delayed or unable to identify, engage, successfully coordinate with or qualify treatment centers in the regions we are targeting as part of our commercial launch strategy, which could delay or prevent patients from receiving cell therapy treatments, if approved. If our treatment centers fail to perform satisfactorily, we may suffer reputational, operational, and business harm.</w:t>
      </w:r>
    </w:p>
    <w:p>
      <w:pPr>
        <w:spacing w:after="0" w:line="6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Any of the above events, should they happen, could adversely affect our development timelines and our business, financial condition, results of operations and prospects.</w:t>
      </w:r>
    </w:p>
    <w:p>
      <w:pPr>
        <w:spacing w:after="0" w:line="266"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suppliers for materials that are necessary for the conduct of clinical trials of rilparencel, our lead product candidate, and the loss of these third-party suppliers or their inability to supply us with sufficient quantities of adequate materials, or to do so at acceptable quality levels and on a timely basis, could harm our business.</w:t>
      </w:r>
    </w:p>
    <w:p>
      <w:pPr>
        <w:spacing w:after="0" w:line="67"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Manufacturing rilparencel, our lead product candidate,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rilparencel.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or interruption in receiving key materials and equipment to support clinical or commercial manufacturing. Any significant delay or interruption in the supply of components or sub-assemblies, or our inability to obtain substitute components, sub-assemblies or materials from alternate sources at acceptable prices in a timely manner, could impair our ability to meet the demand of our customers and harm our business.</w:t>
      </w:r>
    </w:p>
    <w:p>
      <w:pPr>
        <w:spacing w:after="0" w:line="6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For some of these reagents, equipment, and materials, we rely and may in the future rely on sole source vendors or a limited number of vendors. The supply of the reagents and other specialty materials and equipment that are necessary to produce rilparencel could be reduced or interrupted at any time. In such case, identifying and engaging an alternative supplier could result in delay, and we may not be able to find other acceptable suppliers on acceptable terms, or at all. Switching suppliers may involve substantial costs and is likely to result in a delay in our desired clinical and commercial timelines. If we change suppliers for commercial production, applicable regulatory agencies may require us to conduct additional studies or trials. If key suppliers are lost, or if the supply of the materials is diminished or discontinued, we may not be able to develop, manufacture and market rilparencel in a timely and competitive manner, or at all. An inability to continue to source products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rilparencel, which could adversely and materially affect our product sales and operating results or our ability to conduct clinical trials, either of which could significantly harm our business.</w:t>
      </w:r>
    </w:p>
    <w:p>
      <w:pPr>
        <w:spacing w:after="0" w:line="8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or equipment on commercially reasonable terms, or at all, and if we are unable to alter our process in a commercially viable manner to avoid the use of such materials or equipment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a product candidate that is already in clinical development, the change may require us to perform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comparability studies and to collect additional data from subjects prior to undertaking more advanced clinical trials. These factors could cause the delay of nonclinical studies or clinical trials, regulatory submissions, required approvals or commercialization of rilparencel or future product candidates that we develop, cause us to incur higher costs and prevent us from commercializing our product candidates successfully.</w:t>
      </w:r>
    </w:p>
    <w:p>
      <w:pPr>
        <w:spacing w:after="0" w:line="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58" w:name="page59"/>
    <w:bookmarkEnd w:id="58"/>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microbial contamination in the manufacturing process for our cell-based product, shortages of raw materials or failure of any of our key suppliers to deliver necessary components could result in delays in our clinical development or marketing schedules.</w:t>
      </w:r>
    </w:p>
    <w:p>
      <w:pPr>
        <w:spacing w:after="0" w:line="5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Given the nature of cell product manufacturing, there is a risk of microbial contamination. Any microbial contamination could adversely affect our ability to produce, release or administer our cell therapies on schedule and could, therefore, harm our results of operations and cause reputational damage.</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Some of the raw materials required in our manufacturing processes are derived from biologic sources. Such raw materials are difficult to procure and may be subject to contamination or recall. A material shortage, contamination, recall or restriction on the use of biologically derived substances in the manufacture of rilparencel could adversely impact or disrupt the commercial manufacturing or the production of clinical material, which could adversely affect our development timelines and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Rilparencel requires cryopreservation with specific storage, handling and administration at the clinical sites.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Rilparencel requires cryopreservation and must be stored at very low temperatures in specialized liquid nitrogen tanks or specialized shipping containers until immediately prior to use. For administration, the cryopreserved product must be carefully removed from storage, rapidly thawed under controlled temperature conditions in an area proximal to the patient’s bedside and immediately administered to the patient. The handling, thawing and administration of the cryopreserved cell therapy product must be performed according to specific instructions, typically using specific disposables, and some steps must be completed within specific time periods. Failure to correctly handle the product, follow the instructions for thawing and administration and or failure to administer the product within the specified period post-thaw could negatively impact the efficacy and or safety of the product.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product candidates progress through clinical trials to marketing approval and commercialization, various aspects of the development program, such as manufacturing methods and the product’s formulation, may be altered along the way in an effort to optimize yield, manufacturing batch size, minimize costs and achieve consistent quality and results. These changes carry the risk that they will not achieve their intended objectives. Any of these changes could cause rilparencel or any of our future product candidates to perform differently and affect the results of planned clinical trials or other future clinical trials conducted with the altered materials. This could delay completion of our ongoing or planned clinical trials, require us to perform bridging clinical trials or repeat one or more clinical trials, increase clinical trial costs, delay any potential approval of rilparencel or any of our future product candidates and jeopardize our ability to commercialize rilparencel or any of our future product candidates and generate revenue.</w:t>
      </w:r>
    </w:p>
    <w:p>
      <w:pPr>
        <w:spacing w:after="0" w:line="8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there are risks associated with process development and large-scale manufacturing for clinical trials or commercial distribution including, among others, cost overruns, potential problems with process scale-up, process reproducibility, stability issues, compliance with cGMP, lot consistency and timely availability of raw materials. Even if we obtain marketing approval for any of our product candidates, there is no assurance that we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the manufacturing processes for biological products is more complex and expensive than with small-molecule products, and additional manufacturing suppliers may be needed to manufacture clinical trial supplies for these development programs. If we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29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operations are concentrated in a number of locations, including a single manufacturing facility in North Carolina. We or the third parties upon whom we depend may be adversely affected by earthquakes, wildfires or other natural disasters, as well as epidemics, pandemics and other incidents, and our business continuity and disaster recovery plans may not adequately protect us from a serious disaster.</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unplanned event, such as flood, fire, explosion, earthquake, extreme weather condition, medical epidemics or pandemics, power shortage, telecommunication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rilparencel or any of our future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manufacturing facilities, or otherwise disrupted operations, it may be difficult or, in certain cases, impossible, for us to continue our business for a substantial period of time. The disaster recovery</w:t>
      </w:r>
    </w:p>
    <w:p>
      <w:pPr>
        <w:spacing w:after="0" w:line="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305" w:right="639" w:bottom="1440" w:gutter="0" w:footer="0" w:header="0"/>
        </w:sectPr>
      </w:pPr>
    </w:p>
    <w:bookmarkStart w:id="59" w:name="page60"/>
    <w:bookmarkEnd w:id="59"/>
    <w:p>
      <w:pPr>
        <w:ind w:right="140"/>
        <w:spacing w:after="0" w:line="254" w:lineRule="auto"/>
        <w:rPr>
          <w:sz w:val="20"/>
          <w:szCs w:val="20"/>
          <w:color w:val="auto"/>
        </w:rPr>
      </w:pPr>
      <w:r>
        <w:rPr>
          <w:rFonts w:ascii="Times New Roman" w:cs="Times New Roman" w:eastAsia="Times New Roman" w:hAnsi="Times New Roman"/>
          <w:sz w:val="18"/>
          <w:szCs w:val="18"/>
          <w:color w:val="auto"/>
        </w:rPr>
        <w:t>and business continuity plans we have in place, including use of contract manufacturers and inherent risks associated therewith with respect to technology transfer and quality issues,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Rilparencel and Our Future Product Candidates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rilparencel or a future product candidate we develop receives marketing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Even if rilparencel or any other product candidates we develop receives marketing approval, it may nonetheless fail to gain sufficient market acceptance by physicians, patients, third-party payors, such as Medicare and Medicaid programs and managed care organizations, and others in the medical community.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degree of market acceptance of any product candidate, if approved for commercial sale, will depend on a number of factors, including:</w:t>
      </w:r>
    </w:p>
    <w:p>
      <w:pPr>
        <w:spacing w:after="0" w:line="225" w:lineRule="exact"/>
        <w:rPr>
          <w:sz w:val="20"/>
          <w:szCs w:val="20"/>
          <w:color w:val="auto"/>
        </w:rPr>
      </w:pPr>
    </w:p>
    <w:p>
      <w:pPr>
        <w:ind w:left="1320" w:hanging="472"/>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of our current or future product candidates compared to alternative treatments;</w:t>
      </w:r>
    </w:p>
    <w:p>
      <w:pPr>
        <w:spacing w:after="0" w:line="225"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foreign regulatory authorities, including any limitations or warnings contained in a product’s approved labeling, including any black box warning or REMS;</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current or future product candidates are approved;</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commercially launched in the future;</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if approved, for sale at competitive prices;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225" w:lineRule="exact"/>
        <w:rPr>
          <w:rFonts w:ascii="Times New Roman" w:cs="Times New Roman" w:eastAsia="Times New Roman" w:hAnsi="Times New Roman"/>
          <w:sz w:val="18"/>
          <w:szCs w:val="18"/>
          <w:color w:val="auto"/>
        </w:rPr>
      </w:pPr>
    </w:p>
    <w:p>
      <w:pPr>
        <w:ind w:left="1320" w:right="20" w:hanging="472"/>
        <w:spacing w:after="0" w:line="282" w:lineRule="auto"/>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 including where there may be a perception that our therapies, if approved, involve an increased risk of adverse events;</w:t>
      </w:r>
    </w:p>
    <w:p>
      <w:pPr>
        <w:spacing w:after="0" w:line="161" w:lineRule="exact"/>
        <w:rPr>
          <w:rFonts w:ascii="Times New Roman" w:cs="Times New Roman" w:eastAsia="Times New Roman" w:hAnsi="Times New Roman"/>
          <w:sz w:val="18"/>
          <w:szCs w:val="18"/>
          <w:color w:val="auto"/>
        </w:rPr>
      </w:pPr>
    </w:p>
    <w:p>
      <w:pPr>
        <w:ind w:left="1320" w:right="60" w:hanging="472"/>
        <w:spacing w:after="0" w:line="282" w:lineRule="auto"/>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with respect to our product candidates in guidelines published by various scientific organizations applicable to us and our product candidates;</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a sales force in the United States;</w:t>
      </w:r>
    </w:p>
    <w:p>
      <w:pPr>
        <w:spacing w:after="0" w:line="225" w:lineRule="exact"/>
        <w:rPr>
          <w:rFonts w:ascii="Times New Roman" w:cs="Times New Roman" w:eastAsia="Times New Roman" w:hAnsi="Times New Roman"/>
          <w:sz w:val="18"/>
          <w:szCs w:val="18"/>
          <w:color w:val="auto"/>
        </w:rPr>
      </w:pPr>
    </w:p>
    <w:p>
      <w:pPr>
        <w:ind w:left="1320" w:right="200" w:hanging="472"/>
        <w:spacing w:after="0" w:line="282" w:lineRule="auto"/>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coverage and adequate reimbursement for our products, including necessary reimbursement codes;</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5"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Current Procedural Terminology (“CPT”) Codes and Resource-Based Relative Value Scale for appropriate provider reimbursement;</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designated International Classification of Diseases (“ICD-10”) codes from the WHO for disease designation;</w:t>
      </w:r>
    </w:p>
    <w:p>
      <w:pPr>
        <w:spacing w:after="0" w:line="225" w:lineRule="exact"/>
        <w:rPr>
          <w:rFonts w:ascii="Times New Roman" w:cs="Times New Roman" w:eastAsia="Times New Roman" w:hAnsi="Times New Roman"/>
          <w:sz w:val="18"/>
          <w:szCs w:val="18"/>
          <w:color w:val="auto"/>
        </w:rPr>
      </w:pPr>
    </w:p>
    <w:p>
      <w:pPr>
        <w:ind w:left="1320" w:right="800" w:hanging="472"/>
        <w:spacing w:after="0" w:line="282" w:lineRule="auto"/>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provider proceduralists to perform invasive kidney procedures that may cause increased medical liability from procedural-related or cell based adverse events; and</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provide advanced procedural training for delivery of product candidates.</w:t>
      </w:r>
    </w:p>
    <w:p>
      <w:pPr>
        <w:spacing w:after="0" w:line="333" w:lineRule="exact"/>
        <w:rPr>
          <w:sz w:val="20"/>
          <w:szCs w:val="20"/>
          <w:color w:val="auto"/>
        </w:rPr>
      </w:pPr>
    </w:p>
    <w:p>
      <w:pPr>
        <w:ind w:right="280" w:firstLine="509"/>
        <w:spacing w:after="0" w:line="252" w:lineRule="auto"/>
        <w:rPr>
          <w:sz w:val="20"/>
          <w:szCs w:val="20"/>
          <w:color w:val="auto"/>
        </w:rPr>
      </w:pPr>
      <w:r>
        <w:rPr>
          <w:rFonts w:ascii="Times New Roman" w:cs="Times New Roman" w:eastAsia="Times New Roman" w:hAnsi="Times New Roman"/>
          <w:sz w:val="18"/>
          <w:szCs w:val="18"/>
          <w:color w:val="auto"/>
        </w:rPr>
        <w:t>Sales of cell-based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 care providers, government agencies or private insurers will determine that our products are safe, therapeutically effective and cost effective as compared with competing treatments. If any product candidate is approved but does not achieve an adequate level of acceptance by such parties, we may not generate or derive sufficient revenue from that product candidate and may not become or remain profitable. If government and other third-party payors do not provide coverage and adequate reimbursement levels for any products we commercialize, market acceptance and commercial success would be reduced. Rilparencel is percutaneously injected into the kidney and requires additional proceduralist</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1093" w:right="459" w:bottom="0"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ind w:right="640"/>
        <w:spacing w:after="0" w:line="282" w:lineRule="auto"/>
        <w:rPr>
          <w:sz w:val="20"/>
          <w:szCs w:val="20"/>
          <w:color w:val="auto"/>
        </w:rPr>
      </w:pPr>
      <w:r>
        <w:rPr>
          <w:rFonts w:ascii="Times New Roman" w:cs="Times New Roman" w:eastAsia="Times New Roman" w:hAnsi="Times New Roman"/>
          <w:sz w:val="18"/>
          <w:szCs w:val="18"/>
          <w:color w:val="auto"/>
        </w:rPr>
        <w:t>technical training with possible ongoing maintenance of certification. Facilities where rilparencel is delivered may require additional cell-based licensing by state, federal or laboratory certification agencies and require equipment with appropriate technology and inventories.</w:t>
      </w:r>
    </w:p>
    <w:p>
      <w:pPr>
        <w:spacing w:after="0" w:line="26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any products for which we obtain regulatory approval, we may not be able to generate product revenue.</w:t>
      </w:r>
    </w:p>
    <w:p>
      <w:pPr>
        <w:spacing w:after="0" w:line="67"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have no internal sales, marketing or distribution capabilities, nor have we commercialized a product. If rilparencel or any of our future product candidates ultimately receives regulatory approval, we expect to establish a marketing and sales organization with technical expertise and supporting manufacturing and distribution capabilities to commercialize each such product in major markets, which will be expensive and time consuming. We have no prior experience as a company in the marketing, sale and distribution of biopharmaceutical products and there are significant risks involved in building and managing a sales organization.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market our products on our own include:</w:t>
      </w:r>
    </w:p>
    <w:p>
      <w:pPr>
        <w:spacing w:after="0" w:line="225" w:lineRule="exact"/>
        <w:rPr>
          <w:sz w:val="20"/>
          <w:szCs w:val="20"/>
          <w:color w:val="auto"/>
        </w:rPr>
      </w:pPr>
    </w:p>
    <w:p>
      <w:pPr>
        <w:ind w:left="1320" w:hanging="472"/>
        <w:spacing w:after="0"/>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1320" w:right="200" w:hanging="472"/>
        <w:spacing w:after="0" w:line="282" w:lineRule="auto"/>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our product candidates, including product administration and product delivery, once approved;</w:t>
      </w:r>
    </w:p>
    <w:p>
      <w:pPr>
        <w:spacing w:after="0" w:line="161" w:lineRule="exact"/>
        <w:rPr>
          <w:rFonts w:ascii="Times New Roman" w:cs="Times New Roman" w:eastAsia="Times New Roman" w:hAnsi="Times New Roman"/>
          <w:sz w:val="18"/>
          <w:szCs w:val="18"/>
          <w:color w:val="auto"/>
        </w:rPr>
      </w:pPr>
    </w:p>
    <w:p>
      <w:pPr>
        <w:ind w:left="1320" w:right="440" w:hanging="472"/>
        <w:spacing w:after="0" w:line="282" w:lineRule="auto"/>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33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and for which we receive regulatory approval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affected populations for rilparencel or any of our future product candidates may be smaller than we or third parties currently project, which may affect the addressable markets for rilparencel or our future product candidates.</w:t>
      </w:r>
    </w:p>
    <w:p>
      <w:pPr>
        <w:spacing w:after="0" w:line="5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Our projections of the number of people who have the diseases we are seeking to treat, as well as the subset of people with these diseases who have the potential to benefit from treatment with rilparencel or any of our future product candidates, are estimates based on our knowledge and understanding of these diseases. These estimates may prove to be incorrect, and new studies, medications, or medical practices may further reduce the estimated incidence or prevalence of this disease. The number of patients in the United States, the European Union and elsewhere may turn out to be lower than expected, may not be otherwise amenable to treatment with rilparencel or any of our future product candidates or patients may become increasingly difficult to identify and access, all of which would adversely affect our business, financial condition, results of operations and prospects. Further, even if we obtain approval for rilparencel or any of our future product candidates, the FDA or other regulators may limit their approved indications to more narrow uses or subpopulations within the populations for which we are targeting development of rilparencel or any of our future product candidates.</w:t>
      </w:r>
    </w:p>
    <w:p>
      <w:pPr>
        <w:spacing w:after="0" w:line="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total addressable market opportunity for rilparencel or any of our future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the incidence and prevalence estimates included in this Annual Report should be viewed with caution. Further, the data and statistical information</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62" w:name="page63"/>
    <w:bookmarkEnd w:id="62"/>
    <w:p>
      <w:pPr>
        <w:ind w:right="40"/>
        <w:spacing w:after="0" w:line="282" w:lineRule="auto"/>
        <w:rPr>
          <w:sz w:val="20"/>
          <w:szCs w:val="20"/>
          <w:color w:val="auto"/>
        </w:rPr>
      </w:pPr>
      <w:r>
        <w:rPr>
          <w:rFonts w:ascii="Times New Roman" w:cs="Times New Roman" w:eastAsia="Times New Roman" w:hAnsi="Times New Roman"/>
          <w:sz w:val="18"/>
          <w:szCs w:val="18"/>
          <w:color w:val="auto"/>
        </w:rPr>
        <w:t>used in this Annual Report, including estimates derived from them, may differ from information and estimates made by our competitors or from current or future studies conducted by independent sources.</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rilparencel or any of our future product candidates in one jurisdiction does not mean that we will be successful in obtaining regulatory approval of rilparencel or future product candidates in other jurisdictions.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rilparencel or any of our future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similar foreign regulatory authorities must also approve the manufacturing, marketing and promotion of the product candidate in those countries. Approval and licensure procedures vary among jurisdictions and can involve requirements and administrative review periods different from, and greater than, those in the United States, including additional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8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similar foreign regulatory approvals and compliance with similar foreign regulatory requirements could result in significant delays, difficulties and costs for us and could delay or prevent the introduction of our products in certain countries. We do not have any product candidates approved for sale in any jurisdiction, including international markets, and we do not have experience in obtaining regulatory approval in international markets. If we fail to comply with the regulatory requirements in international markets and/or receive applicable marketing approvals, our target market will be reduced and our ability to realize the full market potential of rilparencel or any of our future product candidates will be harmed.</w:t>
      </w:r>
    </w:p>
    <w:p>
      <w:pPr>
        <w:spacing w:after="0" w:line="29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If we have any product candidate approved, our product labeling, advertising, and promotion will be subject to regulatory requirements and continuing regulatory review. In the United States, the FDA and the Federal Trade Commission (the “FTC”) strictly regulate the promotional claims that may be made about pharmaceutical products to ensure that any claims about such products are consistent with regulatory approvals, not misleading or false, and adequately substantiated by clinical data. The promotion of a medicine or biologic product in a manner that is false, misleading, unsubstantiated, or for unapproved (or off-label) uses may result in enforcement letters, inquiries and investigations and civil and criminal sanctions by the FDA, FTC, and other regulatory authorities.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and may result in false claims litigation under federal and state statutes, which can lead to consent decrees, civil monetary penalties, restitution, criminal fines and imprisonment, and exclusion from participation in Medicare, Medicaid and other federal and state health care programs. The federal government has levied large civil and criminal fines against companies for alleged improper promotion and has enjoined several companies from engaging in off-label promotion. The government has also required that companies enter into consent decrees and/or imposed permanent injunctions under which specified promotional conduct is changed or curtailed. Any off-label use of rilparencel or any of our future product candidates could harm our reputation in the marketplace among physicians and patients. There may also be increased risk of injury to patients if physicians attempt to use our products for these uses for which they are not approved, which could lead to product liability suits that might require significant financial and management resources and that could harm our reputation.</w:t>
      </w:r>
    </w:p>
    <w:p>
      <w:pPr>
        <w:spacing w:after="0" w:line="8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Additionally, advertising and promotion of any product candidate that obtains approval outside of the United States will be heavily scrutinized by comparable foreign regulatory authorities and stakeholders.</w:t>
      </w:r>
    </w:p>
    <w:p>
      <w:pPr>
        <w:spacing w:after="0" w:line="26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Rilparencel and our future product candidates for which we intend to seek approval as biologic products may face competition sooner than anticipated, and our operating results will suffer if we fail to compete effectively.</w:t>
      </w:r>
    </w:p>
    <w:p>
      <w:pPr>
        <w:spacing w:after="0" w:line="5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Even if we are successful in achieving regulatory approval to commercialize a product candidate ahead of our competitors, rilparencel or any of our future product candidates may face competition from biosimilar products. In the United States, rilparencel is expected to be regulated by the FDA as a biological product, and we intend to seek approval for rilparencel pursuant to the BLA</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63" w:name="page64"/>
    <w:bookmarkEnd w:id="63"/>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pathway. The Biologics Price Competition and Innovation Act of 2009 (the “BPCIA”) created an abbreviated pathway for FDA approval of biosimilar and interchangeable biological products based on a previously licensed reference product. Under the BPCIA, an application for a biosimilar biological product cannot be approved by the FDA until 12 years after the original reference biological product was approved under a BLA. The law is complex and is still being interpreted and implemented by the FDA. As a result, its ultimate impact, implementation, and meaning are subject to uncertainty.</w:t>
      </w:r>
    </w:p>
    <w:p>
      <w:pPr>
        <w:spacing w:after="0" w:line="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While it is uncertain when such processes intended to implement BPCIA may be fully adopted by the FDA, any such processes could have a material adverse effect on the future commercial prospects for rilparencel.</w:t>
      </w:r>
    </w:p>
    <w:p>
      <w:pPr>
        <w:spacing w:after="0" w:line="7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believe that any of our current or future product candidates approved as a biological product under a BLA should qualify for the 12-year period of exclusivity available to reference biological products. However, there is a risk that this exclusivity could be shortened due to congressional action or otherwise, or that the FDA will not consider our product candidates to be reference biological products pursuant to its interpretation of the exclusivity provisions of the BPCIA for competing products, potentially creating the opportunity for generic follow-on biosimilar competition sooner than anticipated. Moreover, the extent to which a biosimilar product, once approved, will be substituted for any one of our reference products in a way that is similar to traditional generic substitution for non-biological products is not yet clear, and will depend on a number of marketplace and regulatory factors that are still developing, including whether a future competitor seeks an interchangeability designation for a biosimilar of one of our products. Under the BPCIA as well as state pharmacy laws, only interchangeable biosimilar products are considered substitutable for the reference biological product without the intervention of the health care provider who prescribed the original biological product. However, as with all prescribing decisions made in the context of a patient-provider relationship and a patient’s specific medical needs, health care providers are not restricted from prescribing biosimilar products in an off-label manner. In addition, a competitor could decide to forego the abbreviated approval pathway available for biosimilar products and to submit a full BLA for product licensure after completing its own nonclinical studies and clinical trials. In such a situation, any exclusivity to which we may be eligible under the BPCIA would not prevent the competitor from marketing its biological product as soon as it is approved.</w:t>
      </w:r>
    </w:p>
    <w:p>
      <w:pPr>
        <w:spacing w:after="0" w:line="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Furthermore, the CREATES Act was enacted in late 2019 to address concerns articulated by both the FDA and others in the industry that some brand manufacturers have improperly restricted the distribution of their products, including by invoking the existence of a REMS for certain products, to deny follow-on product developers access to samples of brand drug or biologic products. Because follow-on product developers need samples to conduct certain comparative testing required by the FDA, some have attributed the inability to timely obtain samples as a cause of delay in the entry of follow-on products. To remedy this concern, the CREATES Act established a private cause of action that permits a follow-on product developer to sue the brand manufacturer to compel it to furnish the necessary samples on “commercially reasonable, market-based terms.” Therefore, a follow-on developer may request that we provide samples of rilparencel, if it receives marketing approval, in order to conduct comparative testing to support a follow-on biosimilar version, and if we refuse any such request, we may be subject to litigation under the CREATES Act. Although lawsuits have been filed under the CREATES Act since its enactment, those lawsuits have settled privately; therefore, to date no federal court has reviewed or opined on the statutory language and there continues to be uncertainty regarding the scope and application of the law.</w:t>
      </w:r>
    </w:p>
    <w:p>
      <w:pPr>
        <w:spacing w:after="0" w:line="29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rilparencel or our future product candidates, if approved, which could make it difficult for us to sell any product candidates profitably.</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and in other countries, patients who are prescribed treatment for their conditions generally rely on third-party payors to reimburse all or part of the costs associated with their treatment. 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reimbursement from third-party payors. Third-party payors include government authorities such as Medicare, Medicaid, TRICARE, and the Veterans Administration, managed care providers, private health insurers, and other organizations. Coverage and adequate reimbursement from governmental health care programs, such as Medicare and Medicaid, and commercial payors is critical to new product acceptance. Even if any of our products obtains regulatory approval, patients are unlikely to use such products unless coverage is provided and reimbursement is adequate to cover a significant portion of the cost. We cannot be sure that coverage and reimbursement will be available for, or accurately estimate the potential revenue from, any of our products, if approved, or assure that coverage and reimbursement will be available for any product that we may develop. Rilparencel, due to the novel cell therapy and new indication for CKD, may require formulation of CPT codes with resource-based relative value unit appropriation and ICD-10 designation. Each are obtained through different processes and may lead to reimbursement delays of unknown lengths of times.</w:t>
      </w:r>
    </w:p>
    <w:p>
      <w:pPr>
        <w:spacing w:after="0" w:line="8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Government authorities and other third-party payors decide which treatments they will cover and the amount of reimbursement. Coverage and reimbursement by a third-party payor may depend upon a number of factors, including the third-party payor’s determination that use of a product is:</w:t>
      </w:r>
    </w:p>
    <w:p>
      <w:pPr>
        <w:spacing w:after="0" w:line="162" w:lineRule="exact"/>
        <w:rPr>
          <w:sz w:val="20"/>
          <w:szCs w:val="20"/>
          <w:color w:val="auto"/>
        </w:rPr>
      </w:pPr>
    </w:p>
    <w:p>
      <w:pPr>
        <w:ind w:left="1320" w:hanging="472"/>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93" w:right="659" w:bottom="1440" w:gutter="0" w:footer="0" w:header="0"/>
        </w:sectPr>
      </w:pPr>
    </w:p>
    <w:bookmarkStart w:id="64" w:name="page65"/>
    <w:bookmarkEnd w:id="64"/>
    <w:p>
      <w:pPr>
        <w:ind w:left="1320" w:hanging="472"/>
        <w:spacing w:after="0"/>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by peer-reviewed medical journals;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clinical practice guidelines;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33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ability to commercialize successfully any of our products for which we obtain regulatory approval will depend in part on the extent to which coverage and adequate reimbursement for these products and related treatments will be available from third-party payors, including government health care programs and private health insurers. Moreover, a payor’s decision to provide coverage for a biopharmaceutical product does not imply that an adequate reimbursement rate will be approved. If coverage and adequate reimbursement is not available, or is available only to limited levels, we may not be able to successfully commercialize rilparencel or any of our future product candidates. Even if coverage is provided, the approved reimbursement amount may not be high enough to allow us to establish or maintain pricing sufficient to realize a sufficient return on our investment.</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Therefore, coverage and reimbursement for our products can differ significantly from payor to payor.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rilparencel or any of our future product candidates, if approved.</w:t>
      </w:r>
    </w:p>
    <w:p>
      <w:pPr>
        <w:spacing w:after="0" w:line="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Changes to current laws and state and federal health care reform measures that may be adopted in the future may result in additional reductions in Medicare and other health care funding and otherwise affect the prices we may obtain for any product candidates for which we may obtain regulatory approval or the frequency with which any such product candidate is prescribed or used.</w:t>
      </w:r>
    </w:p>
    <w:p>
      <w:pPr>
        <w:spacing w:after="0" w:line="280" w:lineRule="exact"/>
        <w:rPr>
          <w:sz w:val="20"/>
          <w:szCs w:val="20"/>
          <w:color w:val="auto"/>
        </w:rPr>
      </w:pPr>
    </w:p>
    <w:p>
      <w:pPr>
        <w:ind w:right="1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financial or other liabilities and may be required to limit commercialization of rilparencel or our future product candidates.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testing rilparencel or any of our future product candidates in clinical trials and will face an even greater risk if we commercialize any products. For example, we may be sued if rilparencel or any of our future product candidates causes or is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rilparencel or any of our future product candidates. Even a successful defense of these claims would require significant financial and management resources. Regardless of the merits or eventual outcome, liability claims may result in:</w:t>
      </w:r>
    </w:p>
    <w:p>
      <w:pPr>
        <w:spacing w:after="0" w:line="192" w:lineRule="exact"/>
        <w:rPr>
          <w:sz w:val="20"/>
          <w:szCs w:val="20"/>
          <w:color w:val="auto"/>
        </w:rPr>
      </w:pPr>
    </w:p>
    <w:p>
      <w:pPr>
        <w:ind w:left="1320" w:hanging="472"/>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bring a product candidate to the market;</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subjects and inability to continue clinical trials;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 and</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our share price.</w:t>
      </w:r>
    </w:p>
    <w:p>
      <w:pPr>
        <w:spacing w:after="0" w:line="333"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rilparencel continues clinical development and as additional product candidates enter the clinic. However, we may be unable to obtain, or may obtain on unfavorable terms,</w:t>
      </w:r>
    </w:p>
    <w:p>
      <w:pPr>
        <w:sectPr>
          <w:pgSz w:w="11900" w:h="16838" w:orient="portrait"/>
          <w:cols w:equalWidth="0" w:num="1">
            <w:col w:w="10980"/>
          </w:cols>
          <w:pgMar w:left="320" w:top="985" w:right="599" w:bottom="0" w:gutter="0" w:footer="0" w:header="0"/>
        </w:sectPr>
      </w:pPr>
    </w:p>
    <w:bookmarkStart w:id="65" w:name="page66"/>
    <w:bookmarkEnd w:id="65"/>
    <w:p>
      <w:pPr>
        <w:spacing w:after="0" w:line="261" w:lineRule="auto"/>
        <w:rPr>
          <w:sz w:val="20"/>
          <w:szCs w:val="20"/>
          <w:color w:val="auto"/>
        </w:rPr>
      </w:pPr>
      <w:r>
        <w:rPr>
          <w:rFonts w:ascii="Times New Roman" w:cs="Times New Roman" w:eastAsia="Times New Roman" w:hAnsi="Times New Roman"/>
          <w:sz w:val="18"/>
          <w:szCs w:val="18"/>
          <w:color w:val="auto"/>
        </w:rPr>
        <w:t>clinical trial insurance in amounts adequate to cover any liabilities from any of our clinical trials. Our insurance policies may also have various exclusions, and we may be subject to a product liability</w:t>
      </w: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121" w:right="1279" w:bottom="1440" w:gutter="0" w:footer="0" w:header="0"/>
        </w:sectPr>
      </w:pPr>
    </w:p>
    <w:bookmarkStart w:id="66" w:name="page67"/>
    <w:bookmarkEnd w:id="66"/>
    <w:p>
      <w:pPr>
        <w:ind w:right="180"/>
        <w:spacing w:after="0" w:line="261" w:lineRule="auto"/>
        <w:rPr>
          <w:sz w:val="20"/>
          <w:szCs w:val="20"/>
          <w:color w:val="auto"/>
        </w:rPr>
      </w:pPr>
      <w:r>
        <w:rPr>
          <w:rFonts w:ascii="Times New Roman" w:cs="Times New Roman" w:eastAsia="Times New Roman" w:hAnsi="Times New Roman"/>
          <w:sz w:val="18"/>
          <w:szCs w:val="18"/>
          <w:color w:val="auto"/>
        </w:rPr>
        <w:t>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now or in the future, fail to comply with environmental, health, and safety laws and regulations, we could become subject to fines or penalties or incur costs that could substantially harm our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and any CDMOs and suppliers we engage, now or in the future,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substantially harm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supervise and monitor a certain portion of our research and nonclinical testing and clinical trials for rilparencel, and if those third parties do not successfully carry out their contractual duties, comply with regulatory requirements or otherwise perform satisfactorily, we may not be able to obtain regulatory approval or commercialize rilparencel, or such approval or commercialization may be delayed, and our business may be substantially harmed.</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depend, or may depend in the future, upon third parties to conduct certain aspects of our nonclinical studies and clinical trials, and to monitor and manage data, under agreements with universities, medical institutions, CROs, strategic collaborators and others. We expect to have to negotiate budgets and contracts with such third parties, which may result in delays to our development timelines and increased costs. We expect to continue to rely on third parties, including clinical CROs, medical institutions and clinical investigators, to conduct those clinical trials. If any of our relationships with these third-party CROs or others terminate, we may not be able to enter into arrangements with alternative CROs or other third parties or to do so on commercially reasonable terms, if at all. 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Any third parties conducting aspects of our nonclinical studies or clinical trials will not be our employees and, except for remedies that may be available to us under our agreements with such third parties, we cannot control whether or not they devote sufficient time and resources to our nonclinical studies and clinical trials.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or if they need to be replaced or if the quality or accuracy of the nonclinical or clinical data they obtain is compromised due to the failure to adhere to our protocols or regulatory requirements or for other reasons, our product development timelines, including clinical development timelines, may be extended, delayed or terminated, and we may not be able to complete development of, obtain regulatory approval of or successfully commercialize rilparencel. As a result, our financial results and the commercial prospects for rilparencel would be harmed, our costs could increase and our ability to generate revenue could be delayed.</w:t>
      </w:r>
    </w:p>
    <w:p>
      <w:pPr>
        <w:spacing w:after="0" w:line="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67" w:name="page68"/>
    <w:bookmarkEnd w:id="67"/>
    <w:p>
      <w:pPr>
        <w:ind w:firstLine="509"/>
        <w:spacing w:after="0" w:line="252" w:lineRule="auto"/>
        <w:rPr>
          <w:sz w:val="20"/>
          <w:szCs w:val="20"/>
          <w:color w:val="auto"/>
        </w:rPr>
      </w:pPr>
      <w:r>
        <w:rPr>
          <w:rFonts w:ascii="Times New Roman" w:cs="Times New Roman" w:eastAsia="Times New Roman" w:hAnsi="Times New Roman"/>
          <w:sz w:val="18"/>
          <w:szCs w:val="18"/>
          <w:color w:val="auto"/>
        </w:rPr>
        <w:t>We will rely especially heavily on third parties over the course of our clinical trials and will have limited control over the clinical investigators and limited visibility into their day-to-day activities, including with respect to their compliance with the approved clinical trial protocol. Nevertheless, we are responsible for ensuring that each of our clinical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clinical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nonclinical studies or clinical trials before approving our marketing applications. We cannot be certain that, upon inspection, such regulatory authorities will determine that any of our clinical trials comply with the GCP requirements. In addition, our clinical trials must be conducted with biologic product produced under cGMP, and likely cGTP, regulations and will require a large number of test subjects. Our failure or any failure by our contracted third parties, including CROs, to comply with these regulations or to recruit a sufficient number of subjects may require us to repeat clinical trials, which would delay the regulatory approval process. Moreover, our business may be implicated if any of these third parties violates federal or state fraud and abuse or false claims laws and regulations or health care privacy and security laws.</w:t>
      </w:r>
    </w:p>
    <w:p>
      <w:pPr>
        <w:spacing w:after="0" w:line="89"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We also are required to register certain ongoing clinical trials and post the results of certain completed clinical trials on a government-sponsored database, ClinicalTrials.gov, within specified timeframes. Failure to do so can result in fines, adverse publicity and civil and criminal sanctions.</w:t>
      </w:r>
    </w:p>
    <w:p>
      <w:pPr>
        <w:spacing w:after="0" w:line="3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for rilparencel or any of our future product candidates.</w:t>
      </w:r>
    </w:p>
    <w:p>
      <w:pPr>
        <w:spacing w:after="0" w:line="7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product supplies for our clinical trials. Any performance failure on the part of our distributors could delay clinical development or marketing approval of rilparencel or any of our future product candidates or commercialization of rilparencel or any of our future product candidates, producing additional losses and depriving us of potential revenue.</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materials, including tissue samples, required for our research and development activities, and if we are unable to reach agreements with these third parties our research and development activities would be delayed.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our ability to implement a key part of our development strategy will be compromised.</w:t>
      </w:r>
    </w:p>
    <w:p>
      <w:pPr>
        <w:spacing w:after="0" w:line="29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seek to enter into collaborations with third parties for the development and commercialization of rilparencel and/or our future product candidates, and our future collaborations will be important to our business. If we are unable to enter into collaborations, or if these collaborations are not successful, our business could be adversely affected.</w:t>
      </w:r>
    </w:p>
    <w:p>
      <w:pPr>
        <w:spacing w:after="0" w:line="6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 part of our strategy is to consider partnerships in indications and geographies where we believe partners can add significant commercial and/or development capabilities. Further, we have limited capabilities for product development and do not yet have any capability for commercialization. Accordingly, we have entered into and may in the future enter into collaborations with other companies to provide us with important technologies and funding for our programs and technology.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future collaborations we enter into may pose a number of risks, including the following:</w:t>
      </w:r>
    </w:p>
    <w:p>
      <w:pPr>
        <w:spacing w:after="0" w:line="225" w:lineRule="exact"/>
        <w:rPr>
          <w:sz w:val="20"/>
          <w:szCs w:val="20"/>
          <w:color w:val="auto"/>
        </w:rPr>
      </w:pPr>
    </w:p>
    <w:p>
      <w:pPr>
        <w:ind w:left="1320" w:hanging="472"/>
        <w:spacing w:after="0"/>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68" w:name="page69"/>
    <w:bookmarkEnd w:id="68"/>
    <w:p>
      <w:pPr>
        <w:ind w:left="1320" w:right="200" w:hanging="472"/>
        <w:spacing w:after="0" w:line="261" w:lineRule="auto"/>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179" w:lineRule="exact"/>
        <w:rPr>
          <w:rFonts w:ascii="Times New Roman" w:cs="Times New Roman" w:eastAsia="Times New Roman" w:hAnsi="Times New Roman"/>
          <w:sz w:val="18"/>
          <w:szCs w:val="18"/>
          <w:color w:val="auto"/>
        </w:rPr>
      </w:pPr>
    </w:p>
    <w:p>
      <w:pPr>
        <w:ind w:left="1320" w:right="20" w:hanging="472"/>
        <w:spacing w:after="0" w:line="282" w:lineRule="auto"/>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1" w:lineRule="exact"/>
        <w:rPr>
          <w:rFonts w:ascii="Times New Roman" w:cs="Times New Roman" w:eastAsia="Times New Roman" w:hAnsi="Times New Roman"/>
          <w:sz w:val="18"/>
          <w:szCs w:val="18"/>
          <w:color w:val="auto"/>
        </w:rPr>
      </w:pPr>
    </w:p>
    <w:p>
      <w:pPr>
        <w:jc w:val="both"/>
        <w:ind w:left="1320" w:right="60" w:hanging="472"/>
        <w:spacing w:after="0" w:line="260" w:lineRule="auto"/>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2" w:lineRule="exact"/>
        <w:rPr>
          <w:rFonts w:ascii="Times New Roman" w:cs="Times New Roman" w:eastAsia="Times New Roman" w:hAnsi="Times New Roman"/>
          <w:sz w:val="18"/>
          <w:szCs w:val="18"/>
          <w:color w:val="auto"/>
        </w:rPr>
      </w:pPr>
    </w:p>
    <w:p>
      <w:pPr>
        <w:ind w:left="1320" w:hanging="472"/>
        <w:spacing w:after="0" w:line="266" w:lineRule="auto"/>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rilparencel or our future product candidates;</w:t>
      </w:r>
    </w:p>
    <w:p>
      <w:pPr>
        <w:spacing w:after="0" w:line="189" w:lineRule="exact"/>
        <w:rPr>
          <w:rFonts w:ascii="Times New Roman" w:cs="Times New Roman" w:eastAsia="Times New Roman" w:hAnsi="Times New Roman"/>
          <w:sz w:val="18"/>
          <w:szCs w:val="18"/>
          <w:color w:val="auto"/>
        </w:rPr>
      </w:pPr>
    </w:p>
    <w:p>
      <w:pPr>
        <w:ind w:left="1320" w:right="440" w:hanging="472"/>
        <w:spacing w:after="0" w:line="282" w:lineRule="auto"/>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a product candidate or product;</w:t>
      </w:r>
    </w:p>
    <w:p>
      <w:pPr>
        <w:spacing w:after="0" w:line="175" w:lineRule="exact"/>
        <w:rPr>
          <w:rFonts w:ascii="Times New Roman" w:cs="Times New Roman" w:eastAsia="Times New Roman" w:hAnsi="Times New Roman"/>
          <w:sz w:val="18"/>
          <w:szCs w:val="18"/>
          <w:color w:val="auto"/>
        </w:rPr>
      </w:pPr>
    </w:p>
    <w:p>
      <w:pPr>
        <w:ind w:left="1320" w:right="700" w:hanging="472"/>
        <w:spacing w:after="0" w:line="312" w:lineRule="auto"/>
        <w:tabs>
          <w:tab w:leader="none" w:pos="13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with marketing and distribution rights to rilparencel or one or more of our future product candidates that achieve regulatory approval may not commit sufficient resources to the marketing and distribution of such product or products;</w:t>
      </w:r>
    </w:p>
    <w:p>
      <w:pPr>
        <w:spacing w:after="0" w:line="153" w:lineRule="exact"/>
        <w:rPr>
          <w:rFonts w:ascii="Times New Roman" w:cs="Times New Roman" w:eastAsia="Times New Roman" w:hAnsi="Times New Roman"/>
          <w:sz w:val="17"/>
          <w:szCs w:val="17"/>
          <w:color w:val="auto"/>
        </w:rPr>
      </w:pPr>
    </w:p>
    <w:p>
      <w:pPr>
        <w:ind w:left="1320" w:right="220" w:hanging="472"/>
        <w:spacing w:after="0" w:line="266" w:lineRule="auto"/>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provide us with timely and accurate information regarding development progress and activity under any future license agreement, which could adversely impact our ability to report progress to our investors and otherwise plan development of rilparencel or our future product candidates;</w:t>
      </w:r>
    </w:p>
    <w:p>
      <w:pPr>
        <w:spacing w:after="0" w:line="121" w:lineRule="exact"/>
        <w:rPr>
          <w:rFonts w:ascii="Times New Roman" w:cs="Times New Roman" w:eastAsia="Times New Roman" w:hAnsi="Times New Roman"/>
          <w:sz w:val="18"/>
          <w:szCs w:val="18"/>
          <w:color w:val="auto"/>
        </w:rPr>
      </w:pPr>
    </w:p>
    <w:p>
      <w:pPr>
        <w:ind w:left="1320" w:right="20" w:hanging="472"/>
        <w:spacing w:after="0" w:line="261" w:lineRule="auto"/>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93" w:lineRule="exact"/>
        <w:rPr>
          <w:rFonts w:ascii="Times New Roman" w:cs="Times New Roman" w:eastAsia="Times New Roman" w:hAnsi="Times New Roman"/>
          <w:sz w:val="18"/>
          <w:szCs w:val="18"/>
          <w:color w:val="auto"/>
        </w:rPr>
      </w:pPr>
    </w:p>
    <w:p>
      <w:pPr>
        <w:ind w:left="1320" w:right="20" w:hanging="472"/>
        <w:spacing w:after="0" w:line="266" w:lineRule="auto"/>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89"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238" w:lineRule="exact"/>
        <w:rPr>
          <w:rFonts w:ascii="Times New Roman" w:cs="Times New Roman" w:eastAsia="Times New Roman" w:hAnsi="Times New Roman"/>
          <w:sz w:val="18"/>
          <w:szCs w:val="18"/>
          <w:color w:val="auto"/>
        </w:rPr>
      </w:pPr>
    </w:p>
    <w:p>
      <w:pPr>
        <w:ind w:left="1320" w:right="320" w:hanging="472"/>
        <w:spacing w:after="0" w:line="282" w:lineRule="auto"/>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175" w:lineRule="exact"/>
        <w:rPr>
          <w:rFonts w:ascii="Times New Roman" w:cs="Times New Roman" w:eastAsia="Times New Roman" w:hAnsi="Times New Roman"/>
          <w:sz w:val="18"/>
          <w:szCs w:val="18"/>
          <w:color w:val="auto"/>
        </w:rPr>
      </w:pPr>
    </w:p>
    <w:p>
      <w:pPr>
        <w:ind w:left="1320" w:right="440" w:hanging="472"/>
        <w:spacing w:after="0" w:line="282" w:lineRule="auto"/>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27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If any future collaborations we enter into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Annual Report also apply to the activities of our collaborators.</w:t>
      </w:r>
    </w:p>
    <w:p>
      <w:pPr>
        <w:spacing w:after="0" w:line="7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Additionally, if one of our collaborators terminates its agreement with us, we may find it more difficult to attract new collaborators and our perception in the business and financial communities could be adversely affected.</w:t>
      </w:r>
    </w:p>
    <w:p>
      <w:pPr>
        <w:spacing w:after="0" w:line="54" w:lineRule="exact"/>
        <w:rPr>
          <w:sz w:val="20"/>
          <w:szCs w:val="20"/>
          <w:color w:val="auto"/>
        </w:rPr>
      </w:pPr>
    </w:p>
    <w:p>
      <w:pPr>
        <w:ind w:right="180" w:firstLine="509"/>
        <w:spacing w:after="0" w:line="251"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for rilparencel and future product candidates, and the negotiation process is time-consuming and complex. In order for us to successfully establish a collaboration for rilparencel or any of our future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rilparencel or future product candidates, bring them to market and generate revenue from sales of such products or continue to develop our technology, and our business may be materially and</w:t>
      </w:r>
    </w:p>
    <w:p>
      <w:pPr>
        <w:spacing w:after="0" w:line="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5" w:right="479" w:bottom="1063" w:gutter="0" w:footer="0" w:header="0"/>
        </w:sectPr>
      </w:pPr>
    </w:p>
    <w:bookmarkStart w:id="69" w:name="page70"/>
    <w:bookmarkEnd w:id="69"/>
    <w:p>
      <w:pPr>
        <w:ind w:right="100"/>
        <w:spacing w:after="0" w:line="255" w:lineRule="auto"/>
        <w:rPr>
          <w:sz w:val="20"/>
          <w:szCs w:val="20"/>
          <w:color w:val="auto"/>
        </w:rPr>
      </w:pPr>
      <w:r>
        <w:rPr>
          <w:rFonts w:ascii="Times New Roman" w:cs="Times New Roman" w:eastAsia="Times New Roman" w:hAnsi="Times New Roman"/>
          <w:sz w:val="18"/>
          <w:szCs w:val="18"/>
          <w:color w:val="auto"/>
        </w:rPr>
        <w:t>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rilparencel or our future product candidates could delay their development and commercialization and reduce their competitiveness even if it reaches the market. Finally, the pursuit of any collaboration with third parties will require investment of time and resources of the Company which may prove to be a distraction to management and, consequently, the business in the event that the Company is unable to consummate or enter into new strategic collaboration agreements.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11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 care providers, physicians, prescribers, purchasers, third-party payors, charitable organizations and patients will be subject to applicable anti-kickback, fraud and abuse and other health 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upon commercialization of rilparencel or any of our future product candidates, if approved, we will be subject to additional health care statutory and regulatory requirements and oversight by federal and state governments in the United States as well as foreign governments in the jurisdictions in which we conduct our business. Health care providers, including physicians, in the United States and elsewhere play a primary role in the recommendation and prescription of biopharmaceutical products. Arrangements with third-party payors and customers can expose biopharmaceutical manufacturers to broadly applicable fraud and abuse and other health care laws and regulations, including, without limitation, the AKS and the FCA, which may constrain the business or financial arrangements and relationships through which such companies sell, market and distribute biopharmaceutical products. In particular, the research of rilparencel or any of our future product candidates, as well as the promotion, sales and marketing of health care items and services, as well as certain business arrangements in the health 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8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health care laws that may affect us include: the federal fraud and abuse laws, including the AKS; false claims and civil monetary penalties laws, including the FCA and Civil Monetary Penalties Law; federal data privacy and security laws, including HIPAA, as amended by HITECH; and the federal Physician Payments Sunshine Act requiring reports of payments and/or other transfers of value made to or held by physicians (including doctors, dentists, optometrists, podiatrists, and chiropractors), certain non-physician health practitioners, and teaching hospitals, as well as certain ownership and investment interests held by physicians, during the previous year. In addition, many states have similar laws and regulations that may differ from each other and federal law in significant ways, thus complicating compliance efforts. Moreover, several states require biopharmaceutical companies to comply with the biopharmaceutical industry’s voluntary compliance guidelines and the relevant compliance guidance promulgated by the federal government and may require manufacturers to report information related to payments and other transfers of value to physicians and other health care providers or marketing expenditures. Additionally, some state and local laws require the registration of biopharmaceutical sales representatives in the jurisdiction.</w:t>
      </w:r>
    </w:p>
    <w:p>
      <w:pPr>
        <w:spacing w:after="0" w:line="8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 care reform, especially in light of the lack of applicable precedent and regulations. Ensuring business arrangements comply with applicable health care laws, as well as responding to possible investigations by government authorities, can be time- and resource-consuming and can divert a company’s attention from other aspects of its business.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It is possible that governmental and enforcement authorities will conclude that our business practices may not comply with current or future statutes, regulations or case law interpreting applicable fraud and abuse or other health 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 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 care providers or entities with whom we expect to do business is found not to be in compliance with applicable laws, they may be subject to significant criminal, civil or administrative sanctions, including exclusions from government funded health care programs. Any action for violation of these laws, even if successfully defended, could cause a biopharmaceutical manufacturer to incur significant legal expenses and divert management’s attention from the operation of the business. Therefore, even if we are successful in defending against any such actions that may be brought against us, our business may be impaired. Prohibitions or restrictions on sales or withdrawal of future marketed products could materially affect business in an adverse way.</w:t>
      </w:r>
    </w:p>
    <w:p>
      <w:pPr>
        <w:spacing w:after="0" w:line="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70" w:name="page71"/>
    <w:bookmarkEnd w:id="70"/>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any product candidates, we will be subject to ongoing regulatory oversight and continued regulatory review, which may result in significant additional expense and we may be subject to penalties if we fail to comply with regulatory requirements or experience unanticipated problems with rilparencel or any of our future product candidates.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rilparencel or any of our future product candidates is approved, activities such as the manufacturing, labeling, packaging, storage, advertising, promotion, sampling, and record keeping for the products will be subject to extensive and ongoing regulatory requirements. These requirements include submissions of safety and other post-marketing information and reports, registration, as well as continued compliance with cGMP and cGTP regulations. Biopharmaceutical manufacturers and any CDMOs responsible for any product manufacturing processes are required to comply with extensive FDA and comparable foreign regulatory authority requirements, including ensuring that quality control and manufacturing procedures conform to cGMP and cGTP regulations and any applicable foreign equivalents. As such, we and any CDMOs we may employ in the future will be subject to continual review and inspections to assess compliance with cGMPs and cGTPs and adherence to commitments made in any BLA, other marketing application, and previous responses to inspectional observations. Accordingly, we and others with whom we work must continue to expend time, money, and effort in all areas of regulatory compliance, including manufacturing, production and quality control.</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FDA or a comparable foreign regulatory authority may also impose requirements for costly post-marketing nonclinical studies or clinical trials (often called Phase 4 trials) and post-marketing surveillance to monitor the safety or efficacy of the product. If we or a regulatory authority discover previously unknown problems with a product, such as adverse events of unanticipated severity or frequency, production problems or issues with the facility where the product is manufactured or processed, such as product contamination or significant noncompliance with applicable cGMP or cGTP regulations, a regulator may impose restrictions on that product, the manufacturing facility or us. If we or our third-party providers fail to comply fully with applicable regulations, then we may be required to initiate a recall or withdrawal of our products.</w:t>
      </w:r>
    </w:p>
    <w:p>
      <w:pPr>
        <w:spacing w:after="0" w:line="79" w:lineRule="exact"/>
        <w:rPr>
          <w:sz w:val="20"/>
          <w:szCs w:val="20"/>
          <w:color w:val="auto"/>
        </w:rPr>
      </w:pPr>
    </w:p>
    <w:p>
      <w:pPr>
        <w:jc w:val="both"/>
        <w:ind w:right="740" w:firstLine="509"/>
        <w:spacing w:after="0" w:line="266" w:lineRule="auto"/>
        <w:rPr>
          <w:sz w:val="20"/>
          <w:szCs w:val="20"/>
          <w:color w:val="auto"/>
        </w:rPr>
      </w:pPr>
      <w:r>
        <w:rPr>
          <w:rFonts w:ascii="Times New Roman" w:cs="Times New Roman" w:eastAsia="Times New Roman" w:hAnsi="Times New Roman"/>
          <w:sz w:val="18"/>
          <w:szCs w:val="18"/>
          <w:color w:val="auto"/>
        </w:rPr>
        <w:t>Later discovery of previously unknown problems with rilparencel or any of our future product candidates, including adverse events of unanticipated severity or frequency, or with our manufacturing processes, or failure to comply with regulatory requirements, may result in the following, among other things:</w:t>
      </w:r>
    </w:p>
    <w:p>
      <w:pPr>
        <w:spacing w:after="0" w:line="176" w:lineRule="exact"/>
        <w:rPr>
          <w:sz w:val="20"/>
          <w:szCs w:val="20"/>
          <w:color w:val="auto"/>
        </w:rPr>
      </w:pPr>
    </w:p>
    <w:p>
      <w:pPr>
        <w:ind w:left="1320" w:hanging="472"/>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manufacturing of the product, the approved manufacturers or the manufacturing process;</w:t>
      </w:r>
    </w:p>
    <w:p>
      <w:pPr>
        <w:spacing w:after="0" w:line="144"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76"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76"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76"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w:t>
      </w:r>
    </w:p>
    <w:p>
      <w:pPr>
        <w:spacing w:after="0" w:line="76"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292"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 from the FDA or comparable notice of violations from foreign regulatory authorities;</w:t>
      </w:r>
    </w:p>
    <w:p>
      <w:pPr>
        <w:spacing w:after="0" w:line="76"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or other applicable regulatory authority to approve pending applications or supplements to approved applications;</w:t>
      </w:r>
    </w:p>
    <w:p>
      <w:pPr>
        <w:spacing w:after="0" w:line="76"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76"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76"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of our ongoing clinical trials;</w:t>
      </w:r>
    </w:p>
    <w:p>
      <w:pPr>
        <w:spacing w:after="0" w:line="76"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76"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injunctions or the imposition of civil or criminal penalties.</w:t>
      </w:r>
    </w:p>
    <w:p>
      <w:pPr>
        <w:spacing w:after="0" w:line="333"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regulatory authorities’ policies (such as those of the FDA) may change, and additional government regulations may be enacted that could prevent, limit or delay regulatory approval of rilparencel or any of our future product candidates. If we are slow or unable to adapt to changes in existing requirements or the adoption of new requirements or policies, or if we are otherwise not able to maintain regulatory compliance, we may lose any marketing approval that we may have obtained, which would adversely affect our business, prospects and ability to achieve or sustain profitability.</w:t>
      </w:r>
    </w:p>
    <w:p>
      <w:pPr>
        <w:spacing w:after="0" w:line="7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marketing approval of rilparencel or any of our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05" w:right="619" w:bottom="1440" w:gutter="0" w:footer="0" w:header="0"/>
        </w:sectPr>
      </w:pPr>
    </w:p>
    <w:bookmarkStart w:id="71" w:name="page72"/>
    <w:bookmarkEnd w:id="71"/>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health care policies, laws and regulations, including legislative measures aimed at reducing health care costs, may impact our ability to obtain approval for, or commercialize rilparencel or any of our future product candidates, if approved.</w:t>
      </w:r>
    </w:p>
    <w:p>
      <w:pPr>
        <w:spacing w:after="0" w:line="5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litigation, and intellectual property rights, are subject to extensive legislation and regulation. Changes in applicable U.S. federal and state laws and agency regulation, as well as foreign laws and regulations, could have a materially negative impact on our business. In the United States and in some other jurisdictions, there have been a number of legislative and regulatory changes and proposed changes regarding the health care system that could prevent or delay marketing approval of our product candidates or any potential future product candidates of ours, restrict or regulate post-approval activities, or affect our ability to profitably sell any product candidates for which we obtain marketing approval. Increased scrutiny by the U.S. Congress of the FDA’s approval process may significantly delay or prevent marketing approval, as well as subject us to more stringent product labeling and post-marketing testing and other requirements. Congress also must reauthorize the FDA’s user fee programs every five years and often makes changes to those programs in addition to policy or procedural changes that may be negotiated between the FDA and industry stakeholders as part of this periodic reauthorization process. Congress most recently reauthorized the user fee programs in September 2022 without any substantive policy changes. The next FDA user fee reauthorization package is expected to enter stakeholder negotiations beginning in mid-2025, with any agreement sent to Congress in early 2027 for purposes of initiating the legislative process. Reauthorization of the prescription drug user fee program would need to be finalized by Congress by the end of September 2027 in order to avoid a disruption in FDA’s review goals for NDAs and other activities supported by user fees assessed against industry.</w:t>
      </w:r>
    </w:p>
    <w:p>
      <w:pPr>
        <w:spacing w:after="0" w:line="8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 care systems with the stated goals of containing health care costs, improving quality and/or expanding access. In the United States, the pharmaceutical industry has been a focus of these efforts and has been significantly affected by major legislative initiatives. In March 2010, Congress passed the ACA, which substantially changed the way health care is financed by both the government and private insurers, and significantly impacts the U.S. pharmaceutical industry.</w:t>
      </w:r>
    </w:p>
    <w:p>
      <w:pPr>
        <w:spacing w:after="0" w:line="75"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We expect that changes or additions to the ACA, the Medicare and Medicaid programs, and changes stemming from other health care reform measures, especially with regard to health care access, financing or other legislation in individual states, could have a material adverse effect on the health care industry in the United States.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DSCSA, which became fully effective and enforceable in November 2024, imposes obligations on manufacturers of pharmaceutical products related to product tracking and tracing. Furthermore, in February 2022, FDA released proposed regulations to amend the national standards for licensing of wholesale drug distributors by the states; establish new minimum standards for state licensing third-party logistics providers; and create a federal system for licensure for use in the absence of a state program, each of which is mandated by the DSCSA. Other legislative and regulatory proposals have been made to expand post-approval requirements and restrict sales and promotional activities for pharmaceutical products. We are unsure whether additional legislative changes will be enacted, or whether the current regulations, guidance or interpretations will be changed, or whether such changes will have any impact on our business.</w:t>
      </w:r>
    </w:p>
    <w:p>
      <w:pPr>
        <w:spacing w:after="0" w:line="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United States of biopharmaceutical pricing practices considering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(“PBMs”) and other members of the health care and pharmaceutical supply chain, an important decision that may lead to further and more aggressive efforts by states in this area. Then, in mid-2022, the FTC launched sweeping investigations into the practices of the PBM industry that could lead to additional federal and state legislative or regulatory proposals targeting such entities’ operations, pharmacy networks, or financial arrangements. In addition, in the last few years, several states have formed PDABs, with the authority to implement UPLs, on drugs sold in their respective jurisdictions. There are several pending federal lawsuits challenging the authority of states to impose UPLs, however.</w:t>
      </w:r>
    </w:p>
    <w:p>
      <w:pPr>
        <w:spacing w:after="0" w:line="80"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Under the Inflation Reduction Act of 2022 (the “IRA”), which became law in August 2022, a manufacturer of a drug or biological product covered by Medicare Parts B or D must pay a rebate to the federal government if the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in payment year 2026,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w:t>
      </w:r>
    </w:p>
    <w:p>
      <w:pPr>
        <w:spacing w:after="0" w:line="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05" w:right="619" w:bottom="1440" w:gutter="0" w:footer="0" w:header="0"/>
        </w:sectPr>
      </w:pPr>
    </w:p>
    <w:bookmarkStart w:id="72" w:name="page73"/>
    <w:bookmarkEnd w:id="72"/>
    <w:p>
      <w:pPr>
        <w:ind w:right="620" w:firstLine="509"/>
        <w:spacing w:after="0" w:line="312" w:lineRule="auto"/>
        <w:rPr>
          <w:sz w:val="20"/>
          <w:szCs w:val="20"/>
          <w:color w:val="auto"/>
        </w:rPr>
      </w:pPr>
      <w:r>
        <w:rPr>
          <w:rFonts w:ascii="Times New Roman" w:cs="Times New Roman" w:eastAsia="Times New Roman" w:hAnsi="Times New Roman"/>
          <w:sz w:val="17"/>
          <w:szCs w:val="17"/>
          <w:color w:val="auto"/>
        </w:rPr>
        <w:t>Any additional federal or state health care reform measures could limit the amounts that third-party payers will pay for future health care products and services, and, in turn, could significantly reduce the projected value of certain development projects and reduce our profitability.</w:t>
      </w:r>
    </w:p>
    <w:p>
      <w:pPr>
        <w:spacing w:after="0" w:line="24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7"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staffing,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Future legislative and regulatory proposals may materially impact the ability of the FDA and other regulatory agencies to operate as they have historically operated. We cannot be sure whether additional legislative changes or executive orders will be enacted, or whether any of the FDA’s regulations, guidance or interpretations will be changed, or what the impact of such changes on the agency and its scientific review staff, if any, may be. For example, the next FDA user fee reauthorization package is expected to enter stakeholder negotiations beginning in mid-2025, with any agreement sent to Congress in early 2027 for purposes of initiating the legislative process. Reauthorization of the prescription drug user fee program would need to be finalized by Congress by the end of September 2027 in order to avoid a disruption in FDA’s review goals for BLAs and other activities supported by user fees assessed against industry.</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disruptions at the FDA and other agencies may slow the time necessary for new products to be reviewed and/or approved by necessary government agencies, which would adversely affect our business. For example, political disputes in Congress may result in a shutdown of the U.S. government and in such cases certain regulatory agencies, such as the FDA and the SEC, would have to furlough critical employees and stop critical activities.</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a prolonged government shutdown occurs, or if legislative or regulatory developments or global health concerns hinder or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8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in our efforts to comply with evolving global data protection laws and regulations, and any failure or perceived failure by us to comply with such laws and regulations may harm our business and operations.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subjects and health 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7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HIPAA, as amended by HITECH, state data breach notification laws, state health information privacy laws and federal and state consumer protection laws (e.g., Section 5 of the Federal Trade Commission Act), that govern the collection, use, disclosure and protection of health-related and, in many cases,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or other privacy and data security laws. Depending on the facts and circumstances, we could be subject to criminal penalties if we knowingly obtain, use, or disclose protected health information maintained by a HIPAA-covered entity in a manner that is not authorized or permitted by HIPAA. However, determining whether protected health information has been handled in compliance with applicable privacy standards and our contractual obligations can be complex and may be subject to changing interpretation.</w:t>
      </w:r>
    </w:p>
    <w:p>
      <w:pPr>
        <w:spacing w:after="0" w:line="82"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properly protect the privacy and security of protected health information or other personal, sensitive, or confidential information in our possession, we could be found to have breached our contracts. Further, if we fail to comply with applicable privacy laws, including applicable HIPAA privacy and security standards, we could face significant administrative, civil and criminal penalties. Enforcement activity can also result in financial liability and reputational harm, and responses to such</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73" w:name="page74"/>
    <w:bookmarkEnd w:id="73"/>
    <w:p>
      <w:pPr>
        <w:ind w:right="220"/>
        <w:spacing w:after="0" w:line="261" w:lineRule="auto"/>
        <w:rPr>
          <w:sz w:val="20"/>
          <w:szCs w:val="20"/>
          <w:color w:val="auto"/>
        </w:rPr>
      </w:pPr>
      <w:r>
        <w:rPr>
          <w:rFonts w:ascii="Times New Roman" w:cs="Times New Roman" w:eastAsia="Times New Roman" w:hAnsi="Times New Roman"/>
          <w:sz w:val="18"/>
          <w:szCs w:val="18"/>
          <w:color w:val="auto"/>
        </w:rPr>
        <w:t>enforcement activity can consume significant internal and outside resources. Furthermore, state attorneys general are authorized to bring civil actions seeking either injunctions or damages in response to violations that threaten the privacy of state residents.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Many state laws govern the privacy and security of personal information and data in specified circumstances, many of which differ from each other in significant ways, are often not pre-empted by HIPAA, and may have a more prohibitive effect than HIPAA, thus complicating compliance efforts. For example the CCPA, which went into effect in January 2020 and provides new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In addition, the California Consumer Rights Act (the “CPRA”) was enacted to strengthen elements of the CCPA and became effective on January 1, 2023. Various other states such as Colorado, Connecticut, Delaware, Florida, Indiana, Iowa, Kentucky, Maryland, Montana, Nebraska, New Hampshire, New Jersey, Oregon, Rhode Island, Tennessee, Texas, Utah, and Virginia have enacted their own privacy laws similar to the CCPA, and other states are considering proposals for such laws, all of which increases the complexity of compliance and the risk of failures to comply. These privacy laws may impact our business activities and exemplify the vulnerability of our business to the evolving regulatory environment related to personal data.</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Numerous other countries have enacted, or are developing, laws governing the collection, use and transmission of personal data as well. For example, the European Parliament and the Council of the European Union adopted the General Data Protection Regulation ("GDPR"), and China enacted the Personal Information Protection Law. Such laws, as well as evolving contractual and other privacy and data protection obligations, increase the complexity and cost of compliance and could result in significant limitations or require changes to our business, or restrict our collection, use, storage or processing of personal data. In addition, data protection and privacy requirements in certain jurisdictions could impact our ability to develop an adequate marketing strategy and pursue our growth strategy effectively, or even prevent us from providing our products in such jurisdictions, even if we receive marketing authorization, or potentially cause us or our collaborators to incur liability in an effort to comply, which, in turn, could adversely affect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political and economic uncertainty relating to our international operations could negatively impact or restrict our operations.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must dedicate additional resources to comply with numerous laws and regulations in each jurisdiction in which we plan to operate.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 care providers in connection with clinical trials and other work have been deemed to be improper payments to government officials and have led to FCPA enforcement actions. However, in February 2025, President Trump issued an executive order directing the U.S. Department of Justice to pause enforcement of the FCPA and to issue new enforcement guidelines that take into consideration U.S. national security and the competitiveness of U.S. companies abroad. It is unclear how this presidential directive may affect the biopharmaceutical industry as a whole or our business in particular.</w:t>
      </w:r>
    </w:p>
    <w:p>
      <w:pPr>
        <w:spacing w:after="0" w:line="8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As we expand our operations throughout the world, we will be required to dedicate additional resources to comply with these laws, and these laws may preclude us from developing,</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74" w:name="page75"/>
    <w:bookmarkEnd w:id="74"/>
    <w:p>
      <w:pPr>
        <w:ind w:right="120"/>
        <w:spacing w:after="0" w:line="282" w:lineRule="auto"/>
        <w:rPr>
          <w:sz w:val="20"/>
          <w:szCs w:val="20"/>
          <w:color w:val="auto"/>
        </w:rPr>
      </w:pPr>
      <w:r>
        <w:rPr>
          <w:rFonts w:ascii="Times New Roman" w:cs="Times New Roman" w:eastAsia="Times New Roman" w:hAnsi="Times New Roman"/>
          <w:sz w:val="18"/>
          <w:szCs w:val="18"/>
          <w:color w:val="auto"/>
        </w:rPr>
        <w:t>manufacturing, or selling certain products and product candidates outside of the United States, which could limit our growth potential and increase our development costs.</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 face serious consequences for violations.</w:t>
      </w:r>
    </w:p>
    <w:p>
      <w:pPr>
        <w:spacing w:after="0" w:line="9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(collectively, the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9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security holders and their respective affiliates may have competitive pecuniary interests that conflict with our interests.</w:t>
      </w:r>
    </w:p>
    <w:p>
      <w:pPr>
        <w:spacing w:after="0" w:line="5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7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second amended and restated memorandum and articles of association (“Charter”) provides that we renounce, to the maximum extent permitted by law, our interest in any corporate opportunity offered to any director who is not also an employee of the Company or its subsidiaries or about which any such director acquires knowledge unless such opportunity is expressly offered to such person solely in his or her capacity as a director of the Company and such opportunity is one we are legally and contractually permitted to undertake and would otherwise be reasonable for us to pursue. In addition, our Charter contains provisions to exculpate and indemnify, to the maximum extent permitted by law, such persons in respect of any liability, obligation or duty to our company that may arise as a consequence of such persons becoming aware of any business opportunity or failing to present such business opportunity.</w:t>
      </w:r>
    </w:p>
    <w:p>
      <w:pPr>
        <w:spacing w:after="0" w:line="8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our directors and officers may result in a conflict of interest and may result in a breach of their fiduciary duties to us as a matter of Cayman Islands law and we or our shareholders might have a claim against such individuals for infringing on our shareholders’ rights. However, we might not ultimately be successful in any claim we may make against them for such reason.</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Charter, the Cayman Islands Companies Act and the common law of the Cayman Islands. We are also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corporate and securities laws as compared to the United States, and certain states, such as Delaware, may have more fully developed and</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75" w:name="page76"/>
    <w:bookmarkEnd w:id="75"/>
    <w:p>
      <w:pPr>
        <w:ind w:right="140"/>
        <w:spacing w:after="0" w:line="282" w:lineRule="auto"/>
        <w:rPr>
          <w:sz w:val="20"/>
          <w:szCs w:val="20"/>
          <w:color w:val="auto"/>
        </w:rPr>
      </w:pPr>
      <w:r>
        <w:rPr>
          <w:rFonts w:ascii="Times New Roman" w:cs="Times New Roman" w:eastAsia="Times New Roman" w:hAnsi="Times New Roman"/>
          <w:sz w:val="18"/>
          <w:szCs w:val="18"/>
          <w:color w:val="auto"/>
        </w:rPr>
        <w:t>judicially interpreted bodies of corporate law. In addition, Cayman Islands companies may not have standing to initiate a shareholder derivative action in a Federal court of the United States.</w:t>
      </w:r>
    </w:p>
    <w:p>
      <w:pPr>
        <w:spacing w:after="0" w:line="5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8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a result of all of the above, shareholders may have more difficulty in protecting their interests in the face of actions taken by management, members of the board of directors or controlling shareholders than they would as shareholders of a United States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business will depend in large part on obtaining and maintaining patent, trademark and trade secret protection of our proprietary technologies and rilparencel, our lead product candidate, its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rilparencel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The patenting process is subject to numerous risks and there can be no assurance that we will be successful in obtaining patents for which we have applied.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strength of patents in the biotechnology and biopharmaceutical field involves complex legal and scientific questions and can be uncertain. The patent applications that we own or in-license may fail to result in issued patents with claims that cover rilparencel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rilparencel, or prevent others from designing around the claims in our patents. If the breadth or strength of protection provided by the patent applications we hold with respect to rilparencel is threatened, it could dissuade companies from collaborating with us to develop, and threaten our ability to commercialize, rilparencel. Further, if we encounter delays in our clinical trials, the period of time during which we could market rilparencel under patent protection would be reduced.</w:t>
      </w:r>
    </w:p>
    <w:p>
      <w:pPr>
        <w:spacing w:after="0" w:line="8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cannot be certain that we were the first to file any patent application related to our technology, including rilparencel, and, if we were not, we may be precluded from obtaining patent protection for our technology, including rilparencel.</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cannot be certain that we are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76" w:name="page77"/>
    <w:bookmarkEnd w:id="76"/>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may be required to disclaim part or all of the term of certain patents.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rilparencel, or would be found by a court to be infringed by a competitor’s technology or product. We may analyze patents or patent applications of our competitors that we believe are relevant to our activities, and consider that we are free to operate in relation to rilparencel, but our competitors may achieve issued claims, including in patents we consider to be unrelated, which block our efforts or may potentially result in rilparencel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86"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Recent or future patent reform legislation could increase the uncertainties and costs surrounding the prosecution of our patent applications and the enforcement or defense of our issued patents. Under the enacted Leahy-Smith America Invents Act (the “America Invents Act”) after March 2013, the United States moved from a “first-to-invent”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In addition, the courts have yet to address many of these provisions and the applicability of the America Invents Act and new regulations on specific patents discussed herein, for which issues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8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62" w:lineRule="exact"/>
        <w:rPr>
          <w:sz w:val="20"/>
          <w:szCs w:val="20"/>
          <w:color w:val="auto"/>
        </w:rPr>
      </w:pPr>
    </w:p>
    <w:p>
      <w:pPr>
        <w:ind w:left="1320" w:right="80" w:hanging="472"/>
        <w:spacing w:after="0" w:line="282" w:lineRule="auto"/>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that are similar to the compositions of rilparencel but that are not covered by the claims of our patents or those of our licensors;</w:t>
      </w:r>
    </w:p>
    <w:p>
      <w:pPr>
        <w:spacing w:after="0" w:line="161" w:lineRule="exact"/>
        <w:rPr>
          <w:rFonts w:ascii="Times New Roman" w:cs="Times New Roman" w:eastAsia="Times New Roman" w:hAnsi="Times New Roman"/>
          <w:sz w:val="18"/>
          <w:szCs w:val="18"/>
          <w:color w:val="auto"/>
        </w:rPr>
      </w:pPr>
    </w:p>
    <w:p>
      <w:pPr>
        <w:ind w:left="1320" w:right="180" w:hanging="472"/>
        <w:spacing w:after="0" w:line="282" w:lineRule="auto"/>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may fail to meet our obligations to the U.S. government in regards to any in-licensed patents and patent applications invented or developed using U.S. government funding, leading to the loss of patent rights;</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might not have been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225"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or our licensors’ patents, as the case may be, or parts of our or their patents;</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225" w:lineRule="exact"/>
        <w:rPr>
          <w:rFonts w:ascii="Times New Roman" w:cs="Times New Roman" w:eastAsia="Times New Roman" w:hAnsi="Times New Roman"/>
          <w:sz w:val="18"/>
          <w:szCs w:val="18"/>
          <w:color w:val="auto"/>
        </w:rPr>
      </w:pPr>
    </w:p>
    <w:p>
      <w:pPr>
        <w:ind w:left="1320" w:right="500" w:hanging="472"/>
        <w:spacing w:after="0" w:line="282" w:lineRule="auto"/>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products or technology similar to ours;</w:t>
      </w:r>
    </w:p>
    <w:p>
      <w:pPr>
        <w:spacing w:after="0" w:line="161" w:lineRule="exact"/>
        <w:rPr>
          <w:rFonts w:ascii="Times New Roman" w:cs="Times New Roman" w:eastAsia="Times New Roman" w:hAnsi="Times New Roman"/>
          <w:sz w:val="18"/>
          <w:szCs w:val="18"/>
          <w:color w:val="auto"/>
        </w:rPr>
      </w:pPr>
    </w:p>
    <w:p>
      <w:pPr>
        <w:ind w:left="1320" w:right="40" w:hanging="472"/>
        <w:spacing w:after="0" w:line="282" w:lineRule="auto"/>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or our licensors’, as the case may be, proprietary rights to the same extent as the laws of the United States;</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rilparencel;</w:t>
      </w:r>
    </w:p>
    <w:p>
      <w:pPr>
        <w:spacing w:after="0" w:line="225" w:lineRule="exact"/>
        <w:rPr>
          <w:rFonts w:ascii="Times New Roman" w:cs="Times New Roman" w:eastAsia="Times New Roman" w:hAnsi="Times New Roman"/>
          <w:sz w:val="18"/>
          <w:szCs w:val="18"/>
          <w:color w:val="auto"/>
        </w:rPr>
      </w:pPr>
    </w:p>
    <w:p>
      <w:pPr>
        <w:ind w:left="1320" w:right="280" w:hanging="472"/>
        <w:spacing w:after="0" w:line="282" w:lineRule="auto"/>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61" w:lineRule="exact"/>
        <w:rPr>
          <w:rFonts w:ascii="Times New Roman" w:cs="Times New Roman" w:eastAsia="Times New Roman" w:hAnsi="Times New Roman"/>
          <w:sz w:val="18"/>
          <w:szCs w:val="18"/>
          <w:color w:val="auto"/>
        </w:rPr>
      </w:pPr>
    </w:p>
    <w:p>
      <w:pPr>
        <w:jc w:val="both"/>
        <w:ind w:left="1320" w:right="220" w:hanging="472"/>
        <w:spacing w:after="0" w:line="266" w:lineRule="auto"/>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75" w:lineRule="exact"/>
        <w:rPr>
          <w:rFonts w:ascii="Times New Roman" w:cs="Times New Roman" w:eastAsia="Times New Roman" w:hAnsi="Times New Roman"/>
          <w:sz w:val="18"/>
          <w:szCs w:val="18"/>
          <w:color w:val="auto"/>
        </w:rPr>
      </w:pPr>
    </w:p>
    <w:p>
      <w:pPr>
        <w:ind w:left="1320" w:right="480" w:hanging="472"/>
        <w:spacing w:after="0" w:line="266" w:lineRule="auto"/>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75" w:lineRule="exact"/>
        <w:rPr>
          <w:rFonts w:ascii="Times New Roman" w:cs="Times New Roman" w:eastAsia="Times New Roman" w:hAnsi="Times New Roman"/>
          <w:sz w:val="18"/>
          <w:szCs w:val="18"/>
          <w:color w:val="auto"/>
        </w:rPr>
      </w:pPr>
    </w:p>
    <w:p>
      <w:pPr>
        <w:ind w:left="1320" w:right="480" w:hanging="472"/>
        <w:spacing w:after="0" w:line="282" w:lineRule="auto"/>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or diagnostic tests we develop may be covered by third parties’ patents or other exclusive rights;</w:t>
      </w:r>
    </w:p>
    <w:p>
      <w:pPr>
        <w:spacing w:after="0" w:line="225" w:lineRule="exact"/>
        <w:rPr>
          <w:rFonts w:ascii="Times New Roman" w:cs="Times New Roman" w:eastAsia="Times New Roman" w:hAnsi="Times New Roman"/>
          <w:sz w:val="18"/>
          <w:szCs w:val="18"/>
          <w:color w:val="auto"/>
        </w:rPr>
      </w:pPr>
    </w:p>
    <w:p>
      <w:pPr>
        <w:ind w:left="1320" w:right="20" w:hanging="472"/>
        <w:spacing w:after="0" w:line="266" w:lineRule="auto"/>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owned or in-licensed patents or applications were made with U.S. government funds, it is possible that the U.S. government may assert certain march-in rights to force us or our licensor to grant a license to third-parties to allow them to practice the claimed invention; or</w:t>
      </w:r>
    </w:p>
    <w:p>
      <w:pPr>
        <w:spacing w:after="0" w:line="1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60"/>
          </w:cols>
          <w:pgMar w:left="320" w:top="1093" w:right="519" w:bottom="0"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521970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ind w:left="1320" w:hanging="472"/>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00" w:lineRule="exact"/>
        <w:rPr>
          <w:sz w:val="20"/>
          <w:szCs w:val="20"/>
          <w:color w:val="auto"/>
        </w:rPr>
      </w:pPr>
    </w:p>
    <w:p>
      <w:pPr>
        <w:spacing w:after="0" w:line="34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licenses or agreements.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licensing agreement, including:</w:t>
      </w:r>
    </w:p>
    <w:p>
      <w:pPr>
        <w:spacing w:after="0" w:line="225" w:lineRule="exact"/>
        <w:rPr>
          <w:sz w:val="20"/>
          <w:szCs w:val="20"/>
          <w:color w:val="auto"/>
        </w:rPr>
      </w:pPr>
    </w:p>
    <w:p>
      <w:pPr>
        <w:ind w:left="1320" w:hanging="472"/>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1320" w:right="320" w:hanging="472"/>
        <w:spacing w:after="0" w:line="282" w:lineRule="auto"/>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rilparencel, our lead product candidate, or any other product candidate’s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225"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1320" w:right="260" w:hanging="472"/>
        <w:spacing w:after="0" w:line="282" w:lineRule="auto"/>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333"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8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proceedings or defense activities may be less vigorous than had we conducted them ourselves.</w:t>
      </w:r>
    </w:p>
    <w:p>
      <w:pPr>
        <w:spacing w:after="0" w:line="2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negatively impacted, and our business and competitive position would be harmed.</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rely heavily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the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8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85" w:right="599" w:bottom="1440" w:gutter="0" w:footer="0" w:header="0"/>
        </w:sectPr>
      </w:pPr>
    </w:p>
    <w:bookmarkStart w:id="79" w:name="page80"/>
    <w:bookmarkEnd w:id="79"/>
    <w:p>
      <w:pPr>
        <w:ind w:right="960"/>
        <w:spacing w:after="0" w:line="282" w:lineRule="auto"/>
        <w:rPr>
          <w:sz w:val="20"/>
          <w:szCs w:val="20"/>
          <w:color w:val="auto"/>
        </w:rPr>
      </w:pPr>
      <w:r>
        <w:rPr>
          <w:rFonts w:ascii="Times New Roman" w:cs="Times New Roman" w:eastAsia="Times New Roman" w:hAnsi="Times New Roman"/>
          <w:sz w:val="18"/>
          <w:szCs w:val="18"/>
          <w:color w:val="auto"/>
        </w:rPr>
        <w:t>through contractual means with our employees and consultants, third parties may independently develop substantially equivalent proprietary information and techniques or otherwise gain access to our trade secrets or disclose our technology.</w:t>
      </w:r>
    </w:p>
    <w:p>
      <w:pPr>
        <w:spacing w:after="0" w:line="54"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also plan to adopt policies and conduct training that provides guidance on our expectations, and our advice for best practices, in protecting our trade secrets.</w:t>
      </w:r>
    </w:p>
    <w:p>
      <w:pPr>
        <w:spacing w:after="0" w:line="29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be costly and time consuming to defend and could prevent or delay our product discovery, development and commercialization efforts.</w:t>
      </w:r>
    </w:p>
    <w:p>
      <w:pPr>
        <w:spacing w:after="0" w:line="51"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rilparencel, our lead product candidate,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rilparencel and/or proprietary technologies infringe their intellectual property rights. Numerous U.S. and foreign issued patents and pending patent applications, which are owned by third parties, exist in the fields in which we are developing rilparencel. As the biotechnology and biopharmaceutical industries expand and more patents are issued, the risk increases that rilparencel may give rise to claims of infringement of the patent rights of others.</w:t>
      </w:r>
    </w:p>
    <w:p>
      <w:pPr>
        <w:spacing w:after="0" w:line="80"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Purple Book Continuity Act, enacted in December 2020 under Title II § 325, directs the FDA for the first time to publicly list certain patent information in the “Purple Book,” a database of approved biological products. Specifically, a reference product sponsor (“RPS”) is required to provide to FDA the list of patents and corresponding expiry dates (referred to here as the “initial list”), not later than 30 days after the RPS has provided the initial list to a 351(k) applicant under section 351(l)(3)(A) or (l)(7) of the Public Health Service Act. Accordingly, the RPS must only provide information on its patents to the FDA for listing in the Purple Book after it engages in the patent dance with a follow-on developer or biosimilar. As such, it is not always clear to industry participants, including us, which patents cover various types of medicines, products or their methods of use or manufacture, especially in the earlier stages of product discovery and development. Thus, because of the large number of patents issued and patent applications filed in our fields, there may be a risk that third parties may allege they have patent rights encompassing our product candidate, technologies or methods.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 third party claims that we infringe its intellectual property rights, we may face a number of issues, including, but not limited to:</w:t>
      </w:r>
    </w:p>
    <w:p>
      <w:pPr>
        <w:spacing w:after="0" w:line="225" w:lineRule="exact"/>
        <w:rPr>
          <w:sz w:val="20"/>
          <w:szCs w:val="20"/>
          <w:color w:val="auto"/>
        </w:rPr>
      </w:pPr>
    </w:p>
    <w:p>
      <w:pPr>
        <w:ind w:left="1320" w:right="240" w:hanging="472"/>
        <w:spacing w:after="0" w:line="282" w:lineRule="auto"/>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13" w:lineRule="exact"/>
        <w:rPr>
          <w:rFonts w:ascii="Times New Roman" w:cs="Times New Roman" w:eastAsia="Times New Roman" w:hAnsi="Times New Roman"/>
          <w:sz w:val="18"/>
          <w:szCs w:val="18"/>
          <w:color w:val="auto"/>
        </w:rPr>
      </w:pPr>
    </w:p>
    <w:p>
      <w:pPr>
        <w:jc w:val="both"/>
        <w:ind w:left="1320" w:right="100" w:hanging="472"/>
        <w:spacing w:after="0" w:line="266" w:lineRule="auto"/>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or technology at issue infringes on or violates the third-party’s rights, and, if the court finds that the infringement was willful, we could be ordered to pay treble damages and the patent owner’s attorneys’ fees;</w:t>
      </w:r>
    </w:p>
    <w:p>
      <w:pPr>
        <w:spacing w:after="0" w:line="27" w:lineRule="exact"/>
        <w:rPr>
          <w:rFonts w:ascii="Times New Roman" w:cs="Times New Roman" w:eastAsia="Times New Roman" w:hAnsi="Times New Roman"/>
          <w:sz w:val="18"/>
          <w:szCs w:val="18"/>
          <w:color w:val="auto"/>
        </w:rPr>
      </w:pPr>
    </w:p>
    <w:p>
      <w:pPr>
        <w:ind w:left="1320" w:right="280" w:hanging="472"/>
        <w:spacing w:after="0" w:line="282" w:lineRule="auto"/>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rilparencel, or from using our proprietary technologies, unless the third-party licenses its product rights to us, which it is not required to do;</w:t>
      </w:r>
    </w:p>
    <w:p>
      <w:pPr>
        <w:spacing w:after="0" w:line="13" w:lineRule="exact"/>
        <w:rPr>
          <w:rFonts w:ascii="Times New Roman" w:cs="Times New Roman" w:eastAsia="Times New Roman" w:hAnsi="Times New Roman"/>
          <w:sz w:val="18"/>
          <w:szCs w:val="18"/>
          <w:color w:val="auto"/>
        </w:rPr>
      </w:pPr>
    </w:p>
    <w:p>
      <w:pPr>
        <w:jc w:val="both"/>
        <w:ind w:left="1320" w:hanging="472"/>
        <w:spacing w:after="0" w:line="266" w:lineRule="auto"/>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27" w:lineRule="exact"/>
        <w:rPr>
          <w:rFonts w:ascii="Times New Roman" w:cs="Times New Roman" w:eastAsia="Times New Roman" w:hAnsi="Times New Roman"/>
          <w:sz w:val="18"/>
          <w:szCs w:val="18"/>
          <w:color w:val="auto"/>
        </w:rPr>
      </w:pPr>
    </w:p>
    <w:p>
      <w:pPr>
        <w:ind w:left="1320" w:right="840" w:hanging="472"/>
        <w:spacing w:after="0" w:line="282" w:lineRule="auto"/>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rilparencel or processes so they do not infringe, which may not be possible or may require substantial monetary expenditures and time.</w:t>
      </w:r>
    </w:p>
    <w:p>
      <w:pPr>
        <w:spacing w:after="0" w:line="270"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In addition, there could be public announcements of the results of hearings, motions or other interim proceedings or developments, and, if securities analysts or investors perceive these results to be negative, it could have a substantial adverse effect on the price of our securities.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complex patent litigation more effectively</w:t>
      </w:r>
    </w:p>
    <w:p>
      <w:pPr>
        <w:spacing w:after="0" w:line="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3" w:right="499" w:bottom="1440" w:gutter="0" w:footer="0" w:header="0"/>
        </w:sectPr>
      </w:pPr>
    </w:p>
    <w:bookmarkStart w:id="80" w:name="page81"/>
    <w:bookmarkEnd w:id="80"/>
    <w:p>
      <w:pPr>
        <w:ind w:right="80"/>
        <w:spacing w:after="0" w:line="258" w:lineRule="auto"/>
        <w:rPr>
          <w:sz w:val="20"/>
          <w:szCs w:val="20"/>
          <w:color w:val="auto"/>
        </w:rPr>
      </w:pPr>
      <w:r>
        <w:rPr>
          <w:rFonts w:ascii="Times New Roman" w:cs="Times New Roman" w:eastAsia="Times New Roman" w:hAnsi="Times New Roman"/>
          <w:sz w:val="18"/>
          <w:szCs w:val="18"/>
          <w:color w:val="auto"/>
        </w:rPr>
        <w:t>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assert that we are employing their proprietary technology without authorization.</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There may be third-party patents of which we are currently unaware with claims to compositions of matter, materials, formulations, methods of manufacture or methods for treatment that encompass the composition, use or manufacture of rilparencel. There may be currently pending patent applications of which we are currently unaware which may later result in issued patents that rilparencel or their use or manufacture may infringe. In addition, third parties may obtain patents in the future and claim that use of our technologies infringes upon these patents. If any third-party patent were held by a court of competent jurisdiction to cover rilparencel, intermediates used in the manufacture of rilparencel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rilparencel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8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rilparencel.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rilparencel. We may fail to obtain any of these licenses at a reasonable cost or on reasonable terms, if at all. In that event, we would be unable to further develop and commercialize rilparencel, which could harm our business significantly.</w:t>
      </w:r>
    </w:p>
    <w:p>
      <w:pPr>
        <w:spacing w:after="0" w:line="29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trade secrets.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securities.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30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w:t>
      </w:r>
    </w:p>
    <w:p>
      <w:pPr>
        <w:jc w:val="center"/>
        <w:ind w:right="-2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93" w:right="619" w:bottom="1440" w:gutter="0" w:footer="0" w:header="0"/>
        </w:sectPr>
      </w:pPr>
    </w:p>
    <w:bookmarkStart w:id="81" w:name="page82"/>
    <w:bookmarkEnd w:id="81"/>
    <w:p>
      <w:pPr>
        <w:ind w:right="460"/>
        <w:spacing w:after="0" w:line="282" w:lineRule="auto"/>
        <w:rPr>
          <w:sz w:val="20"/>
          <w:szCs w:val="20"/>
          <w:color w:val="auto"/>
        </w:rPr>
      </w:pPr>
      <w:r>
        <w:rPr>
          <w:rFonts w:ascii="Times New Roman" w:cs="Times New Roman" w:eastAsia="Times New Roman" w:hAnsi="Times New Roman"/>
          <w:sz w:val="18"/>
          <w:szCs w:val="18"/>
          <w:color w:val="auto"/>
        </w:rPr>
        <w:t>every third-party patent and pending application in the United States and abroad that may be relevant to or necessary for the commercialization of rilparencel in any jurisdiction.</w:t>
      </w:r>
    </w:p>
    <w:p>
      <w:pPr>
        <w:spacing w:after="0" w:line="5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rilparencel. Our failure to identify and correctly interpret relevant patents may negatively impact our ability to develop and market our products.</w:t>
      </w:r>
    </w:p>
    <w:p>
      <w:pPr>
        <w:spacing w:after="0" w:line="29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intellectual property rights to develop any future product candidates on acceptable terms.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Rilparencel, our current product candidate, may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rilparencel.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9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or challenging the patent rights of others, which could be expensive, time-consuming and unsuccessful.</w:t>
      </w:r>
    </w:p>
    <w:p>
      <w:pPr>
        <w:spacing w:after="0" w:line="5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third-party’s U.S. patent by requesting that the USPTO review the patent claims in an ex-parte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third-party’s patent in patent opposition proceedings in the European Patent Office (the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rilparencel or our proprietary technologies.</w:t>
      </w:r>
    </w:p>
    <w:p>
      <w:pPr>
        <w:spacing w:after="0" w:line="79" w:lineRule="exact"/>
        <w:rPr>
          <w:sz w:val="20"/>
          <w:szCs w:val="20"/>
          <w:color w:val="auto"/>
        </w:rPr>
      </w:pPr>
    </w:p>
    <w:p>
      <w:pPr>
        <w:ind w:right="140" w:firstLine="509"/>
        <w:spacing w:after="0" w:line="252"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w:t>
      </w:r>
    </w:p>
    <w:p>
      <w:pPr>
        <w:spacing w:after="0" w:line="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82" w:name="page83"/>
    <w:bookmarkEnd w:id="82"/>
    <w:p>
      <w:pPr>
        <w:ind w:right="180"/>
        <w:spacing w:after="0" w:line="282" w:lineRule="auto"/>
        <w:rPr>
          <w:sz w:val="20"/>
          <w:szCs w:val="20"/>
          <w:color w:val="auto"/>
        </w:rPr>
      </w:pPr>
      <w:r>
        <w:rPr>
          <w:rFonts w:ascii="Times New Roman" w:cs="Times New Roman" w:eastAsia="Times New Roman" w:hAnsi="Times New Roman"/>
          <w:sz w:val="18"/>
          <w:szCs w:val="18"/>
          <w:color w:val="auto"/>
        </w:rPr>
        <w:t>proceeding involving a U.S. patent application on inventions owned by or in-licensed to us, we may incur substantial costs, divert management’s time and expend other resources, even if we are successful.</w:t>
      </w:r>
    </w:p>
    <w:p>
      <w:pPr>
        <w:spacing w:after="0" w:line="5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84"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securities.</w:t>
      </w:r>
    </w:p>
    <w:p>
      <w:pPr>
        <w:spacing w:after="0" w:line="284"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our owned and in-licensed issued patents and patent applications are or will be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patents covering rilparencel could be found invalid or unenforceable if challenged in court or the USPTO.</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If we or one of our licensors initiate legal proceedings against a third-party to enforce a patent covering rilparencel, the defendant could counterclaim that the patent covering rilparencel,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and equivalent proceedings in foreign jurisdictions (e.g., opposition proceedings). Such proceedings could result in revocation or amendment to our patents in such a way that they no longer cover rilparencel.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rilparencel. Such a loss of patent protection could have a material adverse impact on our business and our ability to commercialize or license our technology and product candidates.</w:t>
      </w:r>
    </w:p>
    <w:p>
      <w:pPr>
        <w:spacing w:after="0" w:line="8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have a similar material adverse effect on our business, results of operations, financial condition and prospects.</w:t>
      </w:r>
    </w:p>
    <w:p>
      <w:pPr>
        <w:spacing w:after="0" w:line="2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changes in the administration’s interpretation of the law, or changes in the law in other jurisdictions could diminish the value of patents in general, thereby impairing our ability to protect our products.</w:t>
      </w:r>
    </w:p>
    <w:p>
      <w:pPr>
        <w:spacing w:after="0" w:line="51"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Assuming that other requirements for patentability are met, prior to March 16, 2013, in the United States, the first to invent</w:t>
      </w:r>
    </w:p>
    <w:p>
      <w:pPr>
        <w:spacing w:after="0" w:line="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83" w:name="page84"/>
    <w:bookmarkEnd w:id="83"/>
    <w:p>
      <w:pPr>
        <w:spacing w:after="0" w:line="254" w:lineRule="auto"/>
        <w:rPr>
          <w:sz w:val="20"/>
          <w:szCs w:val="20"/>
          <w:color w:val="auto"/>
        </w:rPr>
      </w:pPr>
      <w:r>
        <w:rPr>
          <w:rFonts w:ascii="Times New Roman" w:cs="Times New Roman" w:eastAsia="Times New Roman" w:hAnsi="Times New Roman"/>
          <w:sz w:val="18"/>
          <w:szCs w:val="18"/>
          <w:color w:val="auto"/>
        </w:rPr>
        <w:t>the claimed invention was entitled to the patent, while outside the United States, the first to file a patent application was entitled to the patent. On March 16, 2013, under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9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and enforce our intellectual property rights throughout the world.</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Although we have multiple patents in countries outside of the United States, we do not have intellectual property rights in all potential markets outside the United States where CKD is prevalent.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rilparencel or our future product candidates for an adequate amount of time, and if we do not obtain protection under the Hatch-Waxman Amendments and similar non-United</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States legislation for extending the term of patents covering rilparencel or our future product candidates, our business may be materially harmed.</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claimed U.S. non-provisional filing date. Various extensions, such as patent term adjustments and/or extensions, may be available, but the life of a patent, and the protection it affords, is limited. Even if patents covering rilparencel or any of our future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w:t>
      </w:r>
    </w:p>
    <w:p>
      <w:pPr>
        <w:spacing w:after="0" w:line="79"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also known as the Hatch-Waxman Amendments. The Hatch-Waxman Amendments permit a patent extension term of up to five additional years beyond the expiration date as compensation for patent term lost during the FDA regulatory review process. A patent term extension cannot extend the remaining term of a patent beyond a total of 14 years from the date of product approval and only one patent may be extended. However, we may not be granted the full extension because of, for example, failing to exercise due diligence during the testing phase or regulatory review process. Also, we may not be granted any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spacing w:after="0" w:line="29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otherwise violated, or successfully challenged, resulting in harm to our business.</w:t>
      </w:r>
    </w:p>
    <w:p>
      <w:pPr>
        <w:spacing w:after="0" w:line="51"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rilparencel, if approved for marketing, from the products of our competitors. Once we select new trademarks and apply to register them, our trademark applications may not be approved. Although we would be given an opportunity to respond to those rejections, we may be unable to overcome such rejections. Third parties may oppose or attempt to cancel our trademark applications or trademarks,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or otherwise violate our trademarks and we may not have adequate resources to enforce our trademarks. Any of the foregoing events may have a material adverse effect on our business. Moreover, any name we propose to use with rilparencel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Managing Our Business and Operations</w:t>
      </w:r>
    </w:p>
    <w:p>
      <w:pPr>
        <w:spacing w:after="0" w:line="11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clinical development and research and regulatory capabilities, our manufacturing and administrative capacities, and potentially implement sales, marketing and distribution capabilities, and as a result, we may encounter difficulties in managing our growth, which could adversely affect our operations.</w:t>
      </w:r>
    </w:p>
    <w:p>
      <w:pPr>
        <w:spacing w:after="0" w:line="5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we had approximately 204 full-time employees. As our clinical development and commercialization plans and strategies develop, and as we transition into operating as a public company, we will need to expand our managerial, clinical, regulatory, manufacturing, sales, marketing, financial, development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spacing w:after="0" w:line="183" w:lineRule="exact"/>
        <w:rPr>
          <w:sz w:val="20"/>
          <w:szCs w:val="20"/>
          <w:color w:val="auto"/>
        </w:rPr>
      </w:pPr>
    </w:p>
    <w:p>
      <w:pPr>
        <w:ind w:left="1320" w:hanging="472"/>
        <w:spacing w:after="0"/>
        <w:tabs>
          <w:tab w:leader="none" w:pos="1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76"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development and commercialization efforts effectively, including the clinical and FDA review process for rilparencel and any other product candidates, while complying with our contractual obligations to contractors and other third parties; and</w:t>
      </w:r>
    </w:p>
    <w:p>
      <w:pPr>
        <w:spacing w:after="0" w:line="13"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5" w:right="459" w:bottom="1440" w:gutter="0" w:footer="0" w:header="0"/>
        </w:sectPr>
      </w:pPr>
    </w:p>
    <w:bookmarkStart w:id="85" w:name="page86"/>
    <w:bookmarkEnd w:id="85"/>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ability to continue to develop and, if approved, commercialize rilparencel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rilparencel or any of our future product candidates or otherwise advance our business. There can be no assurance that we will be able to manage our existing consultants or find other competent outside contractors and consultants on economically reasonable terms, or at all.</w:t>
      </w:r>
    </w:p>
    <w:p>
      <w:pPr>
        <w:spacing w:after="0" w:line="8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rilparencel or any other product candidates and, accordingly, may not achieve our research, development and commercialization goals.</w:t>
      </w:r>
    </w:p>
    <w:p>
      <w:pPr>
        <w:spacing w:after="0" w:line="28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or if we fail to recruit additional highly skilled personnel, our ability to continue developing rilparencel or identify and develop new product candidates will be impaired, which could result in loss of markets or market share and could make us less competitive.</w:t>
      </w:r>
    </w:p>
    <w:p>
      <w:pPr>
        <w:spacing w:after="0" w:line="67"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and the loss of the services of any of our executive officers, other key employees, and other scientific and medical advisors, and our inability to find suitable replacements could result in delays in product development and harm our business.</w:t>
      </w:r>
    </w:p>
    <w:p>
      <w:pPr>
        <w:spacing w:after="0" w:line="72"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We conduct our operations globally from several locations, including the United States and the Cayman Islands. Competition for skilled personnel in our industry is intense and may limit our ability to hire and retain highly qualified personnel on acceptable terms or at all.</w:t>
      </w:r>
    </w:p>
    <w:p>
      <w:pPr>
        <w:spacing w:after="0" w:line="5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intend to provide equity awards that vest over time, some of which may be in the form of unregistered shares and may dilute the voting and economic rights of our shareholders. The value to employees of such equity awards that vest over time may be significantly affected by movements in our share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Our success also depends on our ability to continue to attract, retain and motivate highly skilled junior, mid-level and senior scientific and medical personnel.</w:t>
      </w:r>
    </w:p>
    <w:p>
      <w:pPr>
        <w:spacing w:after="0" w:line="293"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 care laws and regulations, and laws that require the true, complete and accurate reporting of financial information or data. In particular, sales, marketing and business arrangements in the health 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 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1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86" w:name="page87"/>
    <w:bookmarkEnd w:id="86"/>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reputation and ability to operate business operations, manufacturing and clinical studies rely on the performance and security of our computer systems and those of third parties that we utilize in our operations. These systems and those of any future collaborators and other contractors or consultants are vulnerable to damage from computer viruses, unauthorized access, natural disasters, terrorism, war and telecommunication and electrical failures.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rilparencel or any of our future product candidates could be delayed.</w:t>
      </w:r>
    </w:p>
    <w:p>
      <w:pPr>
        <w:spacing w:after="0" w:line="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If a material breach of, or accidental or intentional loss of data from,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cloud services to operate certain aspects of our business and any disruption of or interference with our use of cloud services would impact our operations and our business would be adversely impacted.</w:t>
      </w:r>
    </w:p>
    <w:p>
      <w:pPr>
        <w:spacing w:after="0" w:line="5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cloud services we use provide distributed computing infrastructure platform and application hosting for our business operations. We have architected our software and computer systems to utilize application hosting, storage capabilities, communications and other services provided by cloud-based services. Given this, any disruption of, or interference with, our use of such services would impact our operations and our business would be adversely impacted.</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privacy and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Depending on the facts and circumstances, we could be subject to civil or criminal penalties if we obtain, use, or disclose individually identifiable health information maintained by a HIPAA-covered entity in a manner that is not authorized or permitted by HIPAA.</w:t>
      </w:r>
    </w:p>
    <w:p>
      <w:pPr>
        <w:spacing w:after="0" w:line="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5" w:right="599" w:bottom="1440" w:gutter="0" w:footer="0" w:header="0"/>
        </w:sectPr>
      </w:pPr>
    </w:p>
    <w:bookmarkStart w:id="87" w:name="page88"/>
    <w:bookmarkEnd w:id="87"/>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California recently enacted the CCPA, which creates new individual privacy rights for California consumers (as defined in the law) and places increased privacy and security obligations on entities handling personal data of consumers or households. The CCPA became effective on January 1, 2020, and was significantly amended by the CPRA, which became effective on January 1, 2023. Among other things, the CPRA established a new regulatory authority, the California Privacy Protection Agency, which is tasked with enacting new regulations under the CPRA and will have expanded enforcement authority. Various other states such as Colorado, Connecticut, Delaware, Florida, Indiana, Iowa, Kentucky, Maryland, Montana, Nebraska, New Hampshire, New Jersey, Oregon, Rhode Island, Tennessee, Texas, Utah, and Virginia have enacted their own privacy laws similar to the CCPA, and other states are considering proposals for such laws, all of which increases the complexity of compliance and the risk of failures to comply. These privacy laws may impact our business activities and exemplify the vulnerability of our business to the evolving and increasingly complex regulatory environment related to personal data.</w:t>
      </w:r>
    </w:p>
    <w:p>
      <w:pPr>
        <w:spacing w:after="0" w:line="8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9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 or policy could increase our effective tax rate and tax liability or the taxes payable by holders of our ordinary shares, each of which could have a material adverse effect on our business, financial condition and results of operations.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could be adversely affected by changes in applicable tax laws, regulations, or administrative interpretations thereof. For example, the U.S. federal tax legislation commonly referred to as the Tax Cuts and Jobs Act (the “Tax Act”), enacted in December 2017, resulted in fundamental changes to the Internal Revenue Code of 1986, as amended (the “Code”) including, among many other things, a reduction to the federal corporate income tax rate, a partial limitation on the deductibility of business interest expense, a limitation on the deductibility of certain director and officer compensation expense, limitations on net operating loss carrybacks and carryovers and changes relating to the scope and timing of U.S. taxation on earnings from international business operations. Subsequent legislation, the Coronavirus Aid, Relief, and Economic Security Act (the “CARES Act”) enacted on March 27, 2020, relaxed certain of the limitations imposed by the Tax Act for certain taxable years, including the limitation on the use and carryback of net operating losses and the limitation on the deductibility of business interest expense. The exact impact of the Tax Act and the CARES Act for future years is difficult to quantify, but these changes could materially affect our investors, the companies in which our clients invest, or us. Legislative proposals in the U.S., if adopted, would increase the corporate income tax rate and capital gains tax rate. In addition, other changes could be enacted in the future to limit further the deductibility of interest, subject carried interests to more onerous taxation or effect other changes that could have a material adverse effect on our business, results of operations and financial condition.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accrued amounts.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are or may become subject to taxation in more than one tax jurisdiction.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newly enacted tax legislation, changes in the mix of our profitability from jurisdiction to jurisdiction,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or “PFIC,” which could result in adverse U.S. federal income tax consequences to U.S. investors.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believe that we are likely classified as a PFIC for U.S. federal income tax purposes. If we are a PFIC for any taxable year (or portion thereof) that is included in the holding period of a U.S. Holder of our Class A ordinary shares, such U.S. Holder may be subject to adverse U.S. federal income tax consequences and may be subject to additional reporting requirements. There can be no assurances with respect to our status as a PFIC for our current taxable year or any subsequent taxable year. Our actual PFIC status for any taxable year, moreover, will not be determinable until after the end of such taxable year. If we determine we are a PFIC for any taxable year (of which there can be no assurance), we will endeavor to provide to a U.S. Holder such information as the IRS</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88" w:name="page89"/>
    <w:bookmarkEnd w:id="88"/>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may require, including a PFIC Annual Information Statement, upon request, in order to enable a U.S. Holder to make and maintain a “qualified electing fund” election. There can be no assurance, however, that ProKidney will timely provide such information. We urge U.S. investors to consult their own tax advisors regarding the possible application of the PFIC rules.</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3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will be subject, directly or indirectly, to income taxes in various jurisdictions, and our tax liabilities will be subject to the allocation of expenses in differing jurisdictions. Our future effective tax rates could be subject to volatility or adversely affected by a number of factors, including:</w:t>
      </w:r>
    </w:p>
    <w:p>
      <w:pPr>
        <w:spacing w:after="0" w:line="162" w:lineRule="exact"/>
        <w:rPr>
          <w:sz w:val="20"/>
          <w:szCs w:val="20"/>
          <w:color w:val="auto"/>
        </w:rPr>
      </w:pPr>
    </w:p>
    <w:p>
      <w:pPr>
        <w:ind w:left="1320" w:hanging="472"/>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76"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76"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share-based compensation;</w:t>
      </w:r>
    </w:p>
    <w:p>
      <w:pPr>
        <w:spacing w:after="0" w:line="76"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76"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76" w:lineRule="exact"/>
        <w:rPr>
          <w:rFonts w:ascii="Times New Roman" w:cs="Times New Roman" w:eastAsia="Times New Roman" w:hAnsi="Times New Roman"/>
          <w:sz w:val="18"/>
          <w:szCs w:val="18"/>
          <w:color w:val="auto"/>
        </w:rPr>
      </w:pPr>
    </w:p>
    <w:p>
      <w:pPr>
        <w:ind w:left="1320" w:right="380" w:hanging="472"/>
        <w:spacing w:after="0" w:line="282" w:lineRule="auto"/>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lower-than-anticipated future earnings in jurisdictions where we have lower statutory tax rates and higher-than-anticipated future earnings in jurisdictions where we have higher statutory tax rates.</w:t>
      </w:r>
    </w:p>
    <w:p>
      <w:pPr>
        <w:spacing w:after="0" w:line="27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26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shareholders have significant influence over us, including over decisions that require the approval of shareholders, and their interests may conflict with the interests of holders of ProKidney Corp. Class A ordinary shares.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Deed of Undertaking, dated February 14, 2022, made by Control Empresarial de Capitales, S.A. de C.V. (“CEC”) (the “Voting Agreement”) provides, with respect to the election, appointment or removal of any director of the Company, that, until the third anniversary of the Closing, CEC will vote all of its voting shares in the capital of the Company in a manner proportionate to the manner in which all other ProKidney Class B ordinary shares not held by CEC are voted. As a result, Tolerantia LLC (“Tolerantia”) effectively controls a majority of the voting power of ProKidney Corp. with respect to the election, appointment or removal of any director. Additionally, Pablo Legorreta, as Chairperson of the Board, is affiliated with and majority owns and controls Tolerantia. As a result, Tolerantia and its affiliates have significant influence over the management and affairs of the Company, and, acting together, effectively control the election, appointment or removal of any director and have indirect control over the approval of significant corporate transactions, including any merger, consolidation or sale of all or substantially all of our assets and the issuance or redemption of equity interests in certain circumstances, to the extent such matters require approval of the Board.</w:t>
      </w:r>
    </w:p>
    <w:p>
      <w:pPr>
        <w:spacing w:after="0" w:line="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interests of Tolerantia and CEC may not always coincide with, and in some cases may conflict with, our interests and the interests of our other shareholders, including the holders of ProKidney Class A ordinary shares. This concentration of ownership may also affect the prevailing market price of our ProKidney Class A ordinary shares due to investors’ perceptions that conflicts of interest may exist or arise. As a result, this concentration of ownership may not be in your best interests.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 because these shareholders hold their economic interest in our business through PKLP, rather than through ProKidney Corp., their interests may further conflict with the interests of holders of ProKidney Class A ordinary shares. These holders’ significant ownership in ProKidney Corp. and resulting ability, acting together, to effectively control us may discourage someone from making a significant equity investment in ProKidney Corp., or could discourage transactions involving a change in control, including transactions in which a holder of ProKidney Class A ordinary shares might otherwise receive a premium for their shares over the then-current market price.</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 “controlled company” within the meaning of the Nasdaq rules, our shareholders may not have certain corporate governance protections that are available to shareholders of companies that are not controlled companies.</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So long as more than 50% of the voting power for the election of directors is held by an individual, a group or another company, we will qualify as a “controlled company” within the meaning of the Nasdaq corporate governance standards. Pursuant to the terms of the Voting Agreement, Tolerantia effectively controls a majority of the voting power of all of our outstanding ordinary shares with respect to the election, appointment or removal of any director. As a result, we are a “controlled company” within the meaning of the Nasdaq corporate governance standards and are not subject to the requirements that would otherwise require us to have: (i) a majority of our board of directors consist of independent directors, (ii) subject to the exception pursuant to Nasdaq Listing Rule 5605(b)(2), our board of directors have a compensation committee that is composed of at least two members, each of whom is an independent director, with a written charter addressing the committee’s purpose and responsibilities and (iii)</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89" w:name="page90"/>
    <w:bookmarkEnd w:id="89"/>
    <w:p>
      <w:pPr>
        <w:ind w:right="420"/>
        <w:spacing w:after="0" w:line="261" w:lineRule="auto"/>
        <w:rPr>
          <w:sz w:val="20"/>
          <w:szCs w:val="20"/>
          <w:color w:val="auto"/>
        </w:rPr>
      </w:pPr>
      <w:r>
        <w:rPr>
          <w:rFonts w:ascii="Times New Roman" w:cs="Times New Roman" w:eastAsia="Times New Roman" w:hAnsi="Times New Roman"/>
          <w:sz w:val="18"/>
          <w:szCs w:val="18"/>
          <w:color w:val="auto"/>
        </w:rPr>
        <w:t>director nominees must be selected, or recommended for the board’s selection, either by independent directors constituting a majority of the board’s independent directors in a vote in which only independent directors participate, or by a nominating and corporate governance committee comprised solely of independent directors with a written charter addressing the committee’s purpose and responsibilities. We currently do not utilize these exemptions.</w:t>
      </w:r>
    </w:p>
    <w:p>
      <w:pPr>
        <w:spacing w:after="0" w:line="72"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Tolerantia may have its interest in the Company diluted due to future equity issuances or its own actions in selling shares of the Company, in each case, which could result in a loss of the “controlled company” exemption under the Nasdaq listing rules. We would then be required to comply with those provisions of the Nasdaq listing requirements to the extent we do not already comply with them.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Charter, as well as provisions of Cayman Islands law, could impair a takeover attempt.</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Our Charter contains provisions that may discourage unsolicited takeover proposals that shareholders may consider to be in their best interests. These provisions may make more difficult the removal of management and may discourage transactions that otherwise could involve payment of a premium over prevailing market prices for our securities. These provisions will include, among other things:</w:t>
      </w:r>
    </w:p>
    <w:p>
      <w:pPr>
        <w:spacing w:after="0" w:line="176" w:lineRule="exact"/>
        <w:rPr>
          <w:sz w:val="20"/>
          <w:szCs w:val="20"/>
          <w:color w:val="auto"/>
        </w:rPr>
      </w:pPr>
    </w:p>
    <w:p>
      <w:pPr>
        <w:ind w:left="1320" w:hanging="472"/>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shareholders to elect director candidates;</w:t>
      </w:r>
    </w:p>
    <w:p>
      <w:pPr>
        <w:spacing w:after="0" w:line="76" w:lineRule="exact"/>
        <w:rPr>
          <w:rFonts w:ascii="Times New Roman" w:cs="Times New Roman" w:eastAsia="Times New Roman" w:hAnsi="Times New Roman"/>
          <w:sz w:val="18"/>
          <w:szCs w:val="18"/>
          <w:color w:val="auto"/>
        </w:rPr>
      </w:pPr>
    </w:p>
    <w:p>
      <w:pPr>
        <w:ind w:left="1320" w:right="60" w:hanging="472"/>
        <w:spacing w:after="0" w:line="282" w:lineRule="auto"/>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shareholders to change the membership of a majority of the Board;</w:t>
      </w:r>
    </w:p>
    <w:p>
      <w:pPr>
        <w:spacing w:after="0" w:line="13" w:lineRule="exact"/>
        <w:rPr>
          <w:rFonts w:ascii="Times New Roman" w:cs="Times New Roman" w:eastAsia="Times New Roman" w:hAnsi="Times New Roman"/>
          <w:sz w:val="18"/>
          <w:szCs w:val="18"/>
          <w:color w:val="auto"/>
        </w:rPr>
      </w:pPr>
    </w:p>
    <w:p>
      <w:pPr>
        <w:ind w:left="1320" w:hanging="472"/>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directors may only be removed from the Board by special resolution;</w:t>
      </w:r>
    </w:p>
    <w:p>
      <w:pPr>
        <w:spacing w:after="0" w:line="76" w:lineRule="exact"/>
        <w:rPr>
          <w:rFonts w:ascii="Times New Roman" w:cs="Times New Roman" w:eastAsia="Times New Roman" w:hAnsi="Times New Roman"/>
          <w:sz w:val="18"/>
          <w:szCs w:val="18"/>
          <w:color w:val="auto"/>
        </w:rPr>
      </w:pPr>
    </w:p>
    <w:p>
      <w:pPr>
        <w:ind w:left="1320" w:hanging="472"/>
        <w:spacing w:after="0" w:line="282" w:lineRule="auto"/>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Board to elect a director to fill a vacancy of the Board created by the expansion of the Board or the resignation, death, or removal of a director in certain circumstances, which prevents shareholders from being able to fill vacancies on the Board;</w:t>
      </w:r>
    </w:p>
    <w:p>
      <w:pPr>
        <w:spacing w:after="0" w:line="13" w:lineRule="exact"/>
        <w:rPr>
          <w:rFonts w:ascii="Times New Roman" w:cs="Times New Roman" w:eastAsia="Times New Roman" w:hAnsi="Times New Roman"/>
          <w:sz w:val="18"/>
          <w:szCs w:val="18"/>
          <w:color w:val="auto"/>
        </w:rPr>
      </w:pPr>
    </w:p>
    <w:p>
      <w:pPr>
        <w:jc w:val="both"/>
        <w:ind w:left="1320" w:right="80" w:hanging="472"/>
        <w:spacing w:after="0" w:line="266" w:lineRule="auto"/>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shareholders calling an extraordinary general meeting and the requirement that a meeting of shareholders may only be called by members of the Board, which may delay the ability of our shareholders to force consideration of a proposal or to take action, including the removal of directors; and</w:t>
      </w:r>
    </w:p>
    <w:p>
      <w:pPr>
        <w:spacing w:after="0" w:line="27" w:lineRule="exact"/>
        <w:rPr>
          <w:rFonts w:ascii="Times New Roman" w:cs="Times New Roman" w:eastAsia="Times New Roman" w:hAnsi="Times New Roman"/>
          <w:sz w:val="18"/>
          <w:szCs w:val="18"/>
          <w:color w:val="auto"/>
        </w:rPr>
      </w:pPr>
    </w:p>
    <w:p>
      <w:pPr>
        <w:ind w:left="1320" w:right="220" w:hanging="472"/>
        <w:spacing w:after="0" w:line="282" w:lineRule="auto"/>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Board to issue and set the voting and other rights of preference shares, which could adversely affect the voting power and other rights of the holders of ordinary shares.</w:t>
      </w:r>
    </w:p>
    <w:p>
      <w:pPr>
        <w:spacing w:after="0" w:line="200" w:lineRule="exact"/>
        <w:rPr>
          <w:sz w:val="20"/>
          <w:szCs w:val="20"/>
          <w:color w:val="auto"/>
        </w:rPr>
      </w:pPr>
    </w:p>
    <w:p>
      <w:pPr>
        <w:spacing w:after="0" w:line="282"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5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SOX; (ii) the exemptions from say-on-pay, say-on-frequency and say-on-golden parachute voting requirements; and (iii) reduced disclosure obligations regarding executive compensation in our periodic reports and proxy statements. As a result, our shareholders may not have access to certain information they deem important. We will remain an emerging growth company until the earliest of (i) the last day of the fiscal year: (a) following July 2, 2026, the fifth (5th) anniversary of our initial public offering (consummated as Social Capital Suvretta Holdings Corp. III); (b) in which we have total annual gross revenue of at least $1.235 billion; or (c) in which we are deemed to be a large accelerated filer, which means the market value of our Class A ordinary shares that is held by non-affiliates equals or exceeds $700 million as of the last business day of our prior second fiscal quarter, and (ii) the date on which we have issued more than $1.0 billion in non-convertible debt during the prior three-year period.</w:t>
      </w:r>
    </w:p>
    <w:p>
      <w:pPr>
        <w:spacing w:after="0" w:line="84" w:lineRule="exact"/>
        <w:rPr>
          <w:sz w:val="20"/>
          <w:szCs w:val="20"/>
          <w:color w:val="auto"/>
        </w:rPr>
      </w:pPr>
    </w:p>
    <w:p>
      <w:pPr>
        <w:ind w:right="180" w:firstLine="509"/>
        <w:spacing w:after="0" w:line="252"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3" w:right="479" w:bottom="1440" w:gutter="0" w:footer="0" w:header="0"/>
        </w:sectPr>
      </w:pPr>
    </w:p>
    <w:bookmarkStart w:id="90" w:name="page91"/>
    <w:bookmarkEnd w:id="90"/>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that is held by non-affiliates exceeds $250 million as of the last business day of the prior fiscal quarter, or (ii) our annual revenues equaled or exceeded $100 million during such completed fiscal year, and the market value of our ordinary shares that is held by non-affiliates equals or exceeds $700 million as of the last business day of the prior second fiscal quarter.</w:t>
      </w:r>
    </w:p>
    <w:p>
      <w:pPr>
        <w:spacing w:after="0" w:line="7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Class A ordinary shares less attractive because we rely on these exemptions. If some investors find our Class A ordinary shares less attractive as a result, there may be a less active trading market for our Class A ordinary shares, and our share price may be more volatile.</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5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to comply with the SEC’s rules implementing Sections 302 and 404 of the Sarbanes-Oxley Act of 2022, as amended, which require management to certify financial and other information in our quarterly and annual reports and provide an annual management report on the effectiveness of internal control over financial reporting. To comply with the requirements of being a public company, we may need to undertake various actions, such as implementing additional internal controls and procedures and hiring additional accounting or internal audit staff. As an emerging growth company and our status as a smaller reporting company with limited revenue, our independent registered public accounting firm is not required to formally attest to the effectiveness of our internal controls over financial reporting pursuant to Section 404 until the date we no longer meet the requirements for an exemption. At such time, our independent registered public accounting firm may issue a report that is adverse in the event that it is not satisfied with the level at which our controls are documented, designed or operating.</w:t>
      </w:r>
    </w:p>
    <w:p>
      <w:pPr>
        <w:spacing w:after="0" w:line="84"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Testing and maintaining these controls can divert our management’s attention from other matters that are important to the operation of our business. If we identify material weaknesses in our internal control over financial reporting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meet the requirements for an exemption, investors may lose confidence in the accuracy and completeness of our financial reports, and the market price of our ordinary shares could be negatively affected, and we could become subject to investigations by the SEC or other regulatory authorities, which could require additional financial and management resources.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prices and inflation could negatively impact our margin performance and our financial results.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Increased inflation, including rising prices for raw materials, parts and components, freight, packaging, labor and energy increases, the costs to manufacture and distribute our products, and we may be unable to pass these costs on to our customers. Additionally, we are exposed to fluctuations in other costs such as packaging, freight, labor and energy prices. If inflation in these costs increases beyond our ability to control for them through measures such as implementing operating efficiencies, we may not be able to increase prices to sufficiently offset the effect of various cost increases without negatively impacting customer demand, thereby negatively impacting our margin performance and results of operations.</w:t>
      </w:r>
    </w:p>
    <w:p>
      <w:pPr>
        <w:spacing w:after="0" w:line="28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risks could result in increased market volatility and uncertainty, which could negatively impact our business, financial condition, and results of operations.</w:t>
      </w:r>
    </w:p>
    <w:p>
      <w:pPr>
        <w:spacing w:after="0" w:line="51" w:lineRule="exact"/>
        <w:rPr>
          <w:sz w:val="20"/>
          <w:szCs w:val="20"/>
          <w:color w:val="auto"/>
        </w:rPr>
      </w:pPr>
    </w:p>
    <w:p>
      <w:pPr>
        <w:ind w:firstLine="554"/>
        <w:spacing w:after="0" w:line="254" w:lineRule="auto"/>
        <w:rPr>
          <w:sz w:val="20"/>
          <w:szCs w:val="20"/>
          <w:color w:val="auto"/>
        </w:rPr>
      </w:pPr>
      <w:r>
        <w:rPr>
          <w:rFonts w:ascii="Times New Roman" w:cs="Times New Roman" w:eastAsia="Times New Roman" w:hAnsi="Times New Roman"/>
          <w:sz w:val="18"/>
          <w:szCs w:val="18"/>
          <w:color w:val="auto"/>
        </w:rPr>
        <w:t>The uncertain nature, scope, magnitude, and duration of hostilities stemming from geopolitical conflicts, including the potential effects of such hostilities as well as sanctions, embargoes, asset freezes, cyberattacks and other actions taken in response to such hostilities on the world economy and markets, have disrupted global markets and contributed to increased market volatility and uncertainty, which could have an adverse impact on macroeconomic and other factors that affect our business and supply chain. Any disruption in our supply chain could reduce our revenue and adversely impact our financial results. Such a disruption could occur as a result of any number of events, including, but not limited to, military conflicts, geopolitical developments, war or terrorism, including the ongoing conflicts in Ukraine and Israel and disruptions in utility and other services. Any inability to obtain adequate deliveries or any other circumstance that would require us to seek alternative sources of supply or to manufacture, assemble, and test such components internally could significantly delay our ability to ship our products, which could damage relationships with current and prospective customers and could harm our reputation and brand and could adversely affect our business, financial condition, and results of operations.</w:t>
      </w:r>
    </w:p>
    <w:p>
      <w:pPr>
        <w:spacing w:after="0" w:line="80"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We do not and cannot know if the ongoing conflicts and the economic sanctions imposed as a result of the conflicts, could escalate and result in broader economic and security concerns which could adversely affect our supply chain, suppliers, customers, and potential customers. It is not possible to predict the broader consequences of these conflicts, which could include further</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91" w:name="page92"/>
    <w:bookmarkEnd w:id="91"/>
    <w:p>
      <w:pPr>
        <w:ind w:right="140"/>
        <w:spacing w:after="0" w:line="266" w:lineRule="auto"/>
        <w:rPr>
          <w:sz w:val="20"/>
          <w:szCs w:val="20"/>
          <w:color w:val="auto"/>
        </w:rPr>
      </w:pPr>
      <w:r>
        <w:rPr>
          <w:rFonts w:ascii="Times New Roman" w:cs="Times New Roman" w:eastAsia="Times New Roman" w:hAnsi="Times New Roman"/>
          <w:sz w:val="18"/>
          <w:szCs w:val="18"/>
          <w:color w:val="auto"/>
        </w:rPr>
        <w:t>sanctions, embargoes, regional instability, geopolitical shifts and adverse effects on macroeconomic conditions, the availability and cost of materials, supplies, labor, currency exchange rates and financial markets, all of which could have a material adverse effect on our business, financial condition and results of operations.</w:t>
      </w:r>
    </w:p>
    <w:p>
      <w:pPr>
        <w:spacing w:after="0" w:line="68" w:lineRule="exact"/>
        <w:rPr>
          <w:sz w:val="20"/>
          <w:szCs w:val="20"/>
          <w:color w:val="auto"/>
        </w:rPr>
      </w:pPr>
    </w:p>
    <w:p>
      <w:pPr>
        <w:ind w:firstLine="554"/>
        <w:spacing w:after="0" w:line="258" w:lineRule="auto"/>
        <w:rPr>
          <w:sz w:val="20"/>
          <w:szCs w:val="20"/>
          <w:color w:val="auto"/>
        </w:rPr>
      </w:pPr>
      <w:r>
        <w:rPr>
          <w:rFonts w:ascii="Times New Roman" w:cs="Times New Roman" w:eastAsia="Times New Roman" w:hAnsi="Times New Roman"/>
          <w:sz w:val="18"/>
          <w:szCs w:val="18"/>
          <w:color w:val="auto"/>
        </w:rPr>
        <w:t>In addition, the U.S. government recently announced tariffs on products manufactured in several jurisdictions, including China, Mexico and Canada, and has made announcements regarding the potential imposition of tariffs on other jurisdictions. While certain of the announced tariffs have been delayed, the U.S. government may in the future pause, reimpose or increase tariffs, and countries subject to such tariffs have and in the future may impose reciprocal tariffs or other restrictive trade measures in response. Any of these actions could increase uncertainties and associated risks relating to the Company’s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limited partner of PKLP but may, in certain circumstances, lose the benefit of limited liability.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 limited partner of PKLP, a limited partnership registered under the laws of Ireland.</w:t>
      </w:r>
    </w:p>
    <w:p>
      <w:pPr>
        <w:spacing w:after="0" w:line="117"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Under the Irish LP Act, limited partners of Irish limited partnerships will not be liable for the debts or obligations of the partnership beyond the amount of capital they have contributed. However, the Irish LP Act also provides that such limited liability may be lost if (i) a limited partner (such as ProKidney Corp.) takes part in the management of the business of PKLP, (ii) there is a failure to register PKLP as a limited partnership or any change to the registration details of PKLP, including changes to the name of PKLP, the general nature of the business of PKLP, the principal place of business of PKLP, the partners or the name of any partner of PKLP, the term of character of PKLP, the sum contributed by any limited partner or the liability of any partner by reason of his becoming a limited partner instead of a general partner or a general instead of a limited partner; and (iii) a limited partner withdraws some or a part of his, her or its capital, in which circumstance he, she or it will be liable for the debts and obligations of the firm up to the amount so withdrawn.</w:t>
      </w:r>
    </w:p>
    <w:p>
      <w:pPr>
        <w:spacing w:after="0" w:line="29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only material asset is our interest in PKLP, and we are accordingly dependent upon distributions made by our subsidiaries to pay taxes, make payments under the Tax Receivable Agreement and pay dividends.</w:t>
      </w:r>
    </w:p>
    <w:p>
      <w:pPr>
        <w:spacing w:after="0" w:line="5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are a holding company with no material assets other than our ownership interest in PKLP. As a result, we have no independent means of generating revenue or cash flow. Our ability to pay taxes, make payments under the Tax Receivable Agreement, dated as of July 11, 2022, by and among Social Capital Suvretta Holdings Corp. III, the TRA party representative (as defined in the Tax Receivable Agreement) and the holders of PKLP prior to the closing of the Business Combination (the “Tax Receivable Agreement”) and pay dividends, if any, will depend on the financial results and cash flows of PKLP and its subsidiaries and the distributions we receive from PKLP. Deterioration in the financial condition, earnings or cash flow of PKLP and its subsidiaries, for any reason, could limit or impair our ability to pay such distributions. Additionally, to the extent that we need funds and PKLP and/or any of its subsidiaries are restricted from making such distributions under applicable law or regulation or under the terms of any financing arrangements, or PKLP is otherwise unable to provide such funds, it could materially adversely affect our liquidity and financial condition.</w:t>
      </w:r>
    </w:p>
    <w:p>
      <w:pPr>
        <w:spacing w:after="0" w:line="84" w:lineRule="exact"/>
        <w:rPr>
          <w:sz w:val="20"/>
          <w:szCs w:val="20"/>
          <w:color w:val="auto"/>
        </w:rPr>
      </w:pPr>
    </w:p>
    <w:p>
      <w:pPr>
        <w:ind w:right="140" w:firstLine="509"/>
        <w:spacing w:after="0" w:line="251" w:lineRule="auto"/>
        <w:rPr>
          <w:sz w:val="20"/>
          <w:szCs w:val="20"/>
          <w:color w:val="auto"/>
        </w:rPr>
      </w:pPr>
      <w:r>
        <w:rPr>
          <w:rFonts w:ascii="Times New Roman" w:cs="Times New Roman" w:eastAsia="Times New Roman" w:hAnsi="Times New Roman"/>
          <w:sz w:val="18"/>
          <w:szCs w:val="18"/>
          <w:color w:val="auto"/>
        </w:rPr>
        <w:t>PKLP will continue to be treated as a partnership for U.S. federal income tax purposes and, as such, generally will not be subject to any entity-level U.S. federal income tax. Instead, the taxable income of PKLP will be allocated to holders of common units of PKLP (the “ProKidney Common Units”), including ProKidney Corp. Accordingly, we may be required to pay income taxes on our allocable share of any net taxable income of PKLP (e.g., U.S. federal income and branch profits tax to the extent such net taxable income is effectively connected to the conduct of a trade or business in the United States). Under the terms of the second amended and restated limited partnership agreement of PKLP, as amended (the “Second Amended and Restated ProKidney Limited Partnership Agreement”), PKLP is obligated to make tax distributions to holders of ProKidney Common Units (including ProKidney Corp.) calculated at certain assumed tax rates. In addition to tax expenses, we will also incur expenses related to our operations, including payment obligations under the Tax Receivable Agreement (and the cost of administering such payment obligations), which could be significant and some of which may be reimbursed by PKLP (excluding payment obligations under the Tax Receivable Agreement). We intend to cause PKLP to make distributions to holders of ProKidney Common Units pro rata, in amounts sufficient to cover all applicable income taxes (calculated at assumed tax rates), relevant operating expenses, payments required to be made by us under the Tax Receivable Agreement and dividends, if any, declared by us. However, as discussed below, PKLP’s ability to make such distributions may be subject to various limitations and restrictions including, but not limited to, restrictions on distributions that would either violate any contract or agreement to which PKLP is then a party, including debt agreements, or any applicable law, or that would have the effect of rendering PKLP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its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 which could be substantial.</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92" w:name="page93"/>
    <w:bookmarkEnd w:id="92"/>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Additionally, although PKLP generally will not be subject to any entity-level U.S. federal income tax, it may be liable under federal tax legislation for adjustments to its tax return, absent an election to the contrary. In the event PKLP’s calculations of taxable income are incorrect, its members, including ProKidney Corp., in later years may be subject to material liabilities pursuant to this federal legislation and its related guidance.</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anticipate that the distributions we will receive from PKLP may, in certain periods, exceed our actual tax liabilities and obligations to make payments under the Tax Receivable Agreement. The Board, in its sole discretion, may make any determination from time to time with respect to the use of any such excess cash so accumulated, which may include, among other uses, to pay dividends on ProKidney Class A ordinary shares. We will have no obligation to distribute such cash (or other available cash other than any declared dividend) to our shareholders.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Dividends on ProKidney Class A ordinary shares, if any, will be paid at the discretion of the Board, which will consider, among other things, our business, operating results, financial condition, current and expected cash needs, plans for expansion and any legal or contractual limitations on our ability to pay such dividends. Financing arrangements may include restrictive covenants that restrict our ability to pay dividends or make other distributions to our shareholders. Under the Irish LP Act, a limited partner of PKLP may lose its limited liability where such limited partner withdraws some or a part of his, her or its contribution to PKLP, in which circumstance he, she or it will be liable for debts and obligations of ProKidney up to the amount so withdrawn.</w:t>
      </w:r>
    </w:p>
    <w:p>
      <w:pPr>
        <w:spacing w:after="0" w:line="7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ProKidney’s subsidiaries are generally subject to similar legal limitations on their ability to make distributions to ProKidney. If ProKidney does not have sufficient funds to make distributions, our ability to declare and pay cash dividends may also be restricted or impaired.</w:t>
      </w:r>
    </w:p>
    <w:p>
      <w:pPr>
        <w:spacing w:after="0" w:line="266"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PKLP will be required to make distributions to us and the other holders of ProKidney Common Units, and the distributions that PKLP will be required to make may be substantial.</w:t>
      </w:r>
    </w:p>
    <w:p>
      <w:pPr>
        <w:spacing w:after="0" w:line="3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PKLP will generally be required from time to time to make pro rata distributions in cash to us and the other holders of ProKidney Common Units at certain assumed tax rates in amounts that are intended to be sufficient to cover the taxes on our and the other holders of ProKidney Common Units respective allocable shares of the taxable income of PKLP. As a result of (i) potential differences in the amount of net taxable income allocable to us and the other holders of ProKidney Common Units, (ii) the lower tax rate applicable to corporations than individuals, (iii) our status as a non-U.S. person and (iv) the use of an assumed tax rate (the highest effective marginal combined U.S. federal, state and local income tax rate prescribed for an individual or corporate resident of New York, New York) in calculating PKLP’s distribution obligations, we may receive tax distributions significantly in excess of our tax liabilities and obligations to make payments under the Tax Receivable Agreement. We will determine in our sole discretion the appropriate uses for any excess cash so accumulated, which may include, among other uses, dividends, the payment of obligations under the Tax Receivable Agreement and the payment of other expenses. We will have no obligation to distribute such excess cash (or other available cash other than any declared dividend) to the holders of ProKidney Class A ordinary shares. No adjustments to the redemption or exchange ratio of ProKidney Common Units for ProKidney Class A ordinary shares will be made as a result of either (i) any cash dividend by us or (ii) any cash that we retain and do not distribute to our shareholders. To the extent that we do not distribute such excess cash as dividends on ProKidney Class A ordinary shares and instead, for example, holds such cash balances or lends them to PKLP, holders of ProKidney Common Units would benefit from any value attributable to such cash balances as a result of their ownership of ProKidney Class A ordinary shares following a redemption or exchange of their ProKidney Common Units.</w:t>
      </w:r>
    </w:p>
    <w:p>
      <w:pPr>
        <w:spacing w:after="0" w:line="30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authorities may question our intercompany transfer pricing policies or change their laws in a manner that could increase our effective tax rate or otherwise harm our business.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a company with an international structure, we are subject to U.S. and foreign tax and transfer pricing laws, including those relating to the flow of funds and allocation of profit between subsidiaries. If tax authorities challenge our intercompany transfer pricing, our operations may be negatively impacted and our effective tax rate may increase. Tax rates vary from country to country and if regulators determine that our profits in one jurisdiction should be increased, we might not be able to fully offset any associated increase in tax expense in the other jurisdiction, which would increase our effective tax rate. Additionally, within the Organization for Economic Cooperation and Development (“OECD”)/G20 Inclusive Framework on BEPS (“base erosion and profit shifting”) over 140 jurisdictions have agreed to implement minimum taxation. Our effective tax rate may change as a result of the implementation of minimum taxation, depending on our structure and the footprint of our global operations in the future. Finally, we might not always be in compliance with all applicable customs, exchange control, value added tax and transfer pricing laws despite our efforts to be aware of and to comply with such laws. In such case, we may need to adjust our operating procedures and our business could be adversely affected.</w:t>
      </w:r>
    </w:p>
    <w:p>
      <w:pPr>
        <w:spacing w:after="0" w:line="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93" w:name="page94"/>
    <w:bookmarkEnd w:id="9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Under the Tax Receivable Agreement, we are required to pay 85% of certain tax savings recognized by ProKidney Corp. as a result of the increases in tax basis of ProKidney assets attributable to the exchanges of ProKidney Common Units for ProKidney Class A ordinary shares and certain other tax benefits, and those payments may be substantial.</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Holders of PKLP prior to the Closing (“Closing ProKidney Unitholders”) have exchanged and may in the future exchange additional ProKidney Common Units for ProKidney Class A ordinary shares or, subject to certain restrictions, cash, pursuant to the Exchange Agreement, dated as of July 11, 2022, by and among us, PKLP and the Closing ProKidney Unitholders (the “Exchange Agreement”), subject to certain conditions and transfer restrictions as set forth therein and in the Second Amended and Restated ProKidney Limited Partnership Agreement. The exchanges that have occurred to date have not resulted in an increase in our allocable share of the tax basis of the tangible and intangible assets of PKLP since ProKidney Corp. is domiciled in a non-taxable jurisdiction. However, future exchanges may result in increases in our allocable share of the tax basis of the tangible and intangible assets of PKLP under certain circumstances. These increases in tax basis may increase (for tax purposes) depreciation and amortization deductions and therefore reduce the amount of income or franchise tax that we would otherwise be required to pay in the future had such exchanges never occurred.</w:t>
      </w:r>
    </w:p>
    <w:p>
      <w:pPr>
        <w:spacing w:after="0" w:line="80"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the Tax Receivable Agreement, which generally provides for the payment by it of 85% of certain tax savings, if any, that we recognize as a result of these increases in tax basis and certain other tax attributes of PKLP and tax benefits related to entering into the Tax Receivable Agreement. These payments are the obligation of ProKidney Corp. and not of PKLP. The actual increase in our allocable share of ProKidney’s tax basis in its assets, as well as the amount and timing of any payments under the Tax Receivable Agreement, will vary depending upon a number of factors, including the timing of exchanges, the market price of the Class A ordinary share at the time of the exchange, the extent to which such exchanges are taxable and the amount and timing of the recognition of our income. Many of the factors that will determine the amount of payments that we will make under the Tax Receivable Agreement are outside of our control and such payments, if any, could be substantial and could have a material adverse effect on our financial condition. Even assuming, among other things, that there are no material changes in relevant tax law, that PKLP’s enterprise value is equal to the enterprise value that was agreed to in the Business Combination at the time all ProKidney Common Units are exchanged, and that there are significant future redemptions or exchanges of ProKidney Common Units, payments under the Tax Receivable Agreement are not expected to be material because PKLP does not currently (i) plan to migrate business operations to the United States, or (ii) otherwise anticipate tax benefits outside of the United States from redemptions or exchanges of ProKidney Common Units that would trigger obligations under the Tax Receivable Agreement based upon the intended operations of PKLP outside the United States. In addition, because PKLP does not currently have business operations in the United States and does not expect to generate significant operating revenues in the near future, if at all, payments under the Tax Receivable Agreement in the near future, if any, are not expected to be material. If, contrary to current intended business operations and strategy, the business operations are migrated to the United States, the business operations outside of the United States change, or there are material changes in relevant tax law, then payments under the Tax Receivable Agreement could be material.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Furthermore, our future obligation to make payments under the Tax Receivable Agreement could make it a less attractive target for an acquisition, particularly in the case of an acquirer that cannot use some or all of the tax benefits that may be deemed realized under the Tax Receivable Agreement.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exceed the actual tax benefits we realize or may be accelerated.</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IRS or any other taxing authorities may challenge all or any part of the tax basis increases, as well as other tax positions that we take, and a court may sustain such a challenge. In the event any tax benefits initially claimed by us are disallowed, the Closing ProKidney Unitholders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As a result, in certain circumstances we could make payments under the Tax Receivable Agreement in excess of our actual income or franchise tax savings, which could materially impair our financial condition.</w:t>
      </w:r>
    </w:p>
    <w:p>
      <w:pPr>
        <w:spacing w:after="0" w:line="8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Moreover, the Tax Receivable Agreement provides that, in the event that (i) we exercise our early termination rights under the Tax Receivable Agreement, (ii) the Tax Receivable Agreement is rejected by operation of law in a bankruptcy case, (iii) certain changes of control of ProKidney Corp. occur (as described in the Tax Receivable Agreement) or (iv) we are more than three months late in making a payment due under the Tax Receivable Agreement (unless we in good faith determine that we have</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5" w:right="599" w:bottom="1440" w:gutter="0" w:footer="0" w:header="0"/>
        </w:sectPr>
      </w:pPr>
    </w:p>
    <w:bookmarkStart w:id="94" w:name="page95"/>
    <w:bookmarkEnd w:id="94"/>
    <w:p>
      <w:pPr>
        <w:ind w:right="280"/>
        <w:spacing w:after="0" w:line="255" w:lineRule="auto"/>
        <w:rPr>
          <w:sz w:val="20"/>
          <w:szCs w:val="20"/>
          <w:color w:val="auto"/>
        </w:rPr>
      </w:pPr>
      <w:r>
        <w:rPr>
          <w:rFonts w:ascii="Times New Roman" w:cs="Times New Roman" w:eastAsia="Times New Roman" w:hAnsi="Times New Roman"/>
          <w:sz w:val="18"/>
          <w:szCs w:val="18"/>
          <w:color w:val="auto"/>
        </w:rPr>
        <w:t>insufficient funds to make such payment) or otherwise materially breach any of our material obligations under the Tax Receivable Agreement, our obligations under the Tax Receivable Agreement will accelerate, and we will be required to make an immediate lump-sum cash payment to the Closing ProKidney Unitholders equal to the present value of all forecasted future payments that would have otherwise been made under the Tax Receivable Agreement, which lump-sum payment would be based on certain assumptions, including those relating to our future taxable income. The lump-sum payment to the Closing ProKidney Unitholders could be substantial and could exceed the actual tax benefits that we realize subsequent to such payment because such payment would be calculated assuming, among other things, that we would be able to use the assumed potential tax benefits in future years, and that tax rates applicable to us would be the same as they were in the year of the termination.</w:t>
      </w:r>
    </w:p>
    <w:p>
      <w:pPr>
        <w:spacing w:after="0" w:line="81"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There may be a material negative effect on our liquidity if the payments under the Tax Receivable Agreement exceed the actual income or franchise tax savings that we realize. Furthermore, our obligations to make payments under the Tax Receivable Agreement could also have the effect of delaying, deferring or preventing certain mergers, asset sales, other forms of business combinations or other changes of control. We may need to incur additional indebtedness to finance payments under the Tax Receivable Agreement to the extent our cash resources are insufficient to meet our obligations under the Tax Receivable Agreement as a result of timing discrepancies or otherwise. Such indebtedness may have a material adverse effect on our financial condition.</w:t>
      </w:r>
    </w:p>
    <w:p>
      <w:pPr>
        <w:spacing w:after="0" w:line="7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Tax Receivable Agreement depends on the ability of PKLP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2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Cayman Islands exempted company. The rights of our shareholders may be different from the rights of shareholders governed by the laws of U.S. jurisdictions.</w:t>
      </w:r>
    </w:p>
    <w:p>
      <w:pPr>
        <w:spacing w:after="0" w:line="5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are a Cayman Islands exempted company. Our corporate affairs will continue to be governed by our Charter and by the laws of the Cayman Islands. The rights of shareholders and the responsibilities of members of the Board may be different from the rights of shareholders and responsibilities of directors in companies governed by the laws of U.S. jurisdictions. In the performance of its duties, the board of directors of a solvent Cayman Islands exempted company is required to consider that company’s best interests, which may differ from the interests of one or more of its individual shareholders.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an enterprise-wide information security program designed to identify, protect, detect and respond to and manage reasonably foreseeable cybersecurity risks and threats. To protect our information systems from cybersecurity threats, we use various security tools that help prevent, identify, escalate, investigate, resolve and recover from identified vulnerabilities and security incidents in a timely manner.</w:t>
      </w:r>
    </w:p>
    <w:p>
      <w:pPr>
        <w:spacing w:after="0" w:line="7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Cybersecurity risks related to our business, manufacturing operations, clinical trials, privacy and compliance issues are identified and addressed through third party assessments, internal IT audits, IT security, risk and compliance reviews. To defend, detect and respond to cybersecurity incidents we conduct proactive cybersecurity reviews of systems and applications, perform penetration testing using external third-party tools and techniques to test security controls, conduct employee training, monitor emerging laws and regulations related to data protection and information security and implement appropriate changes.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processes also address cybersecurity threat risks associated with our use of third-party service providers, including our suppliers and manufacturers or who have access to patient and employee data or our systems. In addition, cybersecurity considerations affect the selection and oversight of our third-party service providers. We perform diligence on third parties that have access to our systems, data or facilities that house such systems or data, and continually monitor cybersecurity threat risks identified through such diligence.</w:t>
      </w:r>
    </w:p>
    <w:p>
      <w:pPr>
        <w:spacing w:after="0" w:line="7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have implemented incident response and breach management processes which are based on the National Institute of Standards and Technology (NIST) framework for incident response. This includes 1) defined roles and incident response initiation processes, 2) incident detection and analysis, 3) containment, eradication and recovery, and 4) post-incident analysis. Such incident responses and related matters of cybersecurity are overseen by leaders from our Information Technology, Manufacturing, Clinical Operations, Regulatory and Legal teams.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5" w:name="page96"/>
    <w:bookmarkEnd w:id="95"/>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We employ a range of tools and services, including regular network and endpoint monitoring, audits, vulnerability assessments and penetration testing to inform our risk identification and assessment. Additionally, we engage external auditors and consultants to assess our internal cybersecurity program and our compliance with applicable practices and standards.</w:t>
      </w:r>
    </w:p>
    <w:p>
      <w:pPr>
        <w:spacing w:after="0" w:line="68"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Security events and data incidents are evaluated, ranked by severity and prioritized for response and remediation. Incidents are evaluated to determine materiality as well as operational and business impact and reviewed for privacy impact.</w:t>
      </w:r>
    </w:p>
    <w:p>
      <w:pPr>
        <w:spacing w:after="0" w:line="5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As part of the above processes, we engage external auditors and consultants to assess our internal cybersecurity programs and compliance with applicable practices and standards.</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“Our internal computer systems, or those of our collaborators or other contractors or consultants, may fail or suffer security breaches, which could result in a material disruption of our product development programs,” which disclosures are incorporated by reference herein.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experienced any material cybersecurity incidents and the expenses we have incurred from cybersecurity incidents were immaterial.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Cybersecurity is an important part of our overall risk management processes and an area of focus for our Board and management. Our Audit Committee of the Board oversees our cybersecurity risk and receives reports from our Chief Information Officer on a quarterly basis. This includes existing and new cybersecurity risks, status on how management is addressing and/or mitigating those risks, cybersecurity and data privacy incidents (if any), status on key information security initiatives, industry trends, and other areas of importance.</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also established an information technology management committee which is led by our Chief Information Officer, Chief Financial Officer, and Chief Legal Officer. The members of this committee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w:t>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November 2024, we purchased two buildings in Winston-Salem, North Carolina, portions of which buildings we previously occupied pursuant to real estate leases. The two buildings represent total usable space of approximately 180,000 square feet. The portion of the buildings we currently occupy are used for office, manufacturing and research space. The remaining portion of these buildings are leased by us to third parties under lease agreements that expire between 2026 and 2029.</w:t>
      </w:r>
    </w:p>
    <w:p>
      <w:pPr>
        <w:spacing w:after="0" w:line="7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we also owned a 210,000 square foot facility and approximately 22 acres of land in Greensboro, North Carolina. This property is being actively marketed for sale.</w:t>
      </w:r>
    </w:p>
    <w:p>
      <w:pPr>
        <w:spacing w:after="0" w:line="54"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We have also leased approximately 14,700 square feet of office and warehouse space in Winston-Salem under leases that expire in 2027. Additionally, we have leased a total of approximately 12,400 square feet of office and laboratory space in the Research Triangle Park area of North Carolina under leases expiring in July 2027 and March 2028, respectively. Finally, we have leased approximately 7,400 square feet of office space in Boston, Massachusetts under a lease that expires in January 2029.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left="5540" w:right="1860" w:hanging="552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442595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Class A ordinary shares are listed on the Nasdaq Capital Market under the symbol “PROK”.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cash dividends have ever been declared or paid on the common equity to date by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As of March 17, 2025, we had approximately 129,536,121 Class A ordinary shares issued and outstanding held by 41 holders of record and approximately 163,161,528 Class B ordinary shares issued and outstanding held by three holders of record. Because a large portion of our Class A ordinary shares are held by brokers, nominees and other institutions on behalf of shareholders, we are unable to estimate the total number of shareholders represented by these record holders. There is no public market for our Class B ordinary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There were no repurchases of the Company’s Class A ordinary shares during the quarter ended December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As used in this Annual Report on Form 10-K, the “Company”, the “Registrant”, “we” or “us” refer to ProKidney Corp. and its subsidiaries.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elsewhere in this report under “Part I—Item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8"/>
          <w:szCs w:val="18"/>
          <w:color w:val="auto"/>
        </w:rPr>
        <w:t>We are a clinical-stage biotechnology company with a transformative proprietary cell therapy platform that has the potential to treat multiple chronic kidney diseases using a patient’s own cells isolated from the patient intended for treatment. Our approach seeks to redefine the treatment of CKD, shifting the emphasis away from management of kidney failure to the preservation of kidney function. Our lead product candidate, rilparencel, is designed to preserve kidney function in a CKD patient’s diseased kidneys. Rilparencel is a product that includes autologous SRC prepared from a patient’s own kidney cells. SRC are formulated into a product for reinjection into the patient’s kidneys using a minimally invasive outpatient procedure that is repeatable, if necessary. Because rilparencel is a personalized treatment composed of cells prepared from a patient’s own kidney, there is no need for treatment with immunosuppressive therapies that are required during a patient’s lifetime when a patient receives a kidney transplant from another, allogeneic donor.</w:t>
      </w:r>
    </w:p>
    <w:p>
      <w:pPr>
        <w:spacing w:after="0" w:line="81" w:lineRule="exact"/>
        <w:rPr>
          <w:sz w:val="20"/>
          <w:szCs w:val="20"/>
          <w:color w:val="auto"/>
        </w:rPr>
      </w:pPr>
    </w:p>
    <w:p>
      <w:pPr>
        <w:ind w:right="20" w:firstLine="524"/>
        <w:spacing w:after="0" w:line="257" w:lineRule="auto"/>
        <w:rPr>
          <w:sz w:val="20"/>
          <w:szCs w:val="20"/>
          <w:color w:val="auto"/>
        </w:rPr>
      </w:pPr>
      <w:r>
        <w:rPr>
          <w:rFonts w:ascii="Times New Roman" w:cs="Times New Roman" w:eastAsia="Times New Roman" w:hAnsi="Times New Roman"/>
          <w:sz w:val="18"/>
          <w:szCs w:val="18"/>
          <w:color w:val="auto"/>
        </w:rPr>
        <w:t>We are currently conducting a Phase 3 development program and an ongoing Phase 2 clinical trial for rilparencel in subjects with moderate to severe CKD and diabetes. Rilparencel has received RMAT designation from the FDA. We also completed a Phase 1 clinical trial for rilparencel in subjects with CKD due to congenital anomalies of the kidney and urinary tract (“CAKUT”) for which</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97" w:name="page98"/>
    <w:bookmarkEnd w:id="97"/>
    <w:p>
      <w:pPr>
        <w:ind w:right="360"/>
        <w:spacing w:after="0" w:line="282" w:lineRule="auto"/>
        <w:rPr>
          <w:sz w:val="20"/>
          <w:szCs w:val="20"/>
          <w:color w:val="auto"/>
        </w:rPr>
      </w:pPr>
      <w:r>
        <w:rPr>
          <w:rFonts w:ascii="Times New Roman" w:cs="Times New Roman" w:eastAsia="Times New Roman" w:hAnsi="Times New Roman"/>
          <w:sz w:val="18"/>
          <w:szCs w:val="18"/>
          <w:color w:val="auto"/>
        </w:rPr>
        <w:t>the last subject visit occurred in January 2023 and the clinical study report was submitted to the FDA in December 2023. Rilparencel has, to date, been generally well tolerated by subjects with moderate to severe CKD in Phase 1 and 2 clinical testing.</w:t>
      </w:r>
    </w:p>
    <w:p>
      <w:pPr>
        <w:spacing w:after="0" w:line="54" w:lineRule="exact"/>
        <w:rPr>
          <w:sz w:val="20"/>
          <w:szCs w:val="20"/>
          <w:color w:val="auto"/>
        </w:rPr>
      </w:pPr>
    </w:p>
    <w:p>
      <w:pPr>
        <w:ind w:right="100" w:firstLine="524"/>
        <w:spacing w:after="0" w:line="258"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our Company, business and scientific planning, conducting discovery and research activities, acquiring or discovering product candidates, establishing and protecting our intellectual property portfolio, developing and progressing rilparencel, raising capital and preparing for clinical trials, establishing arrangements with third parties for the manufacture of component materials, and providing general and administrative support for these operations. We do not have any product candidates approved for sale and have not generated any revenue from product sales.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Trends and Uncertainties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continue to monitor the impacts of ongoing macroeconomic conditions and geopolitical events. An escalation of geopolitical tensions or the implementation of global trade restrictions could adversely impact our business, financial condition or results of operations. Global conflicts, tariffs, labor disruptions, and regulations continue to create volatility in global markets and contribute to supply chain shortages and pricing volatility. We continue to actively collaborate with our suppliers to minimize shortages and reduce supply and price volatility.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the sale of products since our inception and do not expect to generate any revenue from the sale of products in the near future, if at all. If our development efforts for rilparencel or any other product candidates are successful and result in marketing approval, or if we enter into collaboration or license agreements with third parties, we may generate revenue in the future from a combination of product sales or payments from such agreements.</w:t>
      </w:r>
    </w:p>
    <w:p>
      <w:pPr>
        <w:spacing w:after="0" w:line="7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Beginning in the year ended December 31, 2024, we recognized revenue related to leasing activities associated with existing lease agreements assumed through the acquisition of two buildings in Winston-Salem, North Carolina where we also conduct our manufacturing operations.</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our research and development activities, including the development of rilparencel.</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costs include:</w:t>
      </w:r>
    </w:p>
    <w:p>
      <w:pPr>
        <w:spacing w:after="0" w:line="117"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CROs and other scientific development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other outside consultants,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laboratory supplies and acquiring and developing clinical trial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and stock-based compensation expenses, for individuals involved in research and development activities; and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insurance and other internal operating costs.</w:t>
      </w:r>
    </w:p>
    <w:p>
      <w:pPr>
        <w:spacing w:after="0" w:line="16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balance sheets as prepaid clinical or as a component of total accrued expenses and other. Nonrefundable advance payments for goods or services to be received in the future for use in research and development activities are deferred and capitalized, even when there is no alternative future use for the research and development. The capitalized amounts are recorded as prepaid clinical and are expensed as the related goods are delivered or the services are performed.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8" w:name="page99"/>
    <w:bookmarkEnd w:id="98"/>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increase significantly for the foreseeable future as we continue to develop rilparencel and prepare for potential commercialization.</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successful development of rilparencel and any product candidates we may develop in the future is highly uncertain. Therefore, we cannot reasonably estimate or know the nature, timing and estimated costs of the efforts that will be necessary to complete the development and commercialization of any of our product candidates. We are also unable to predict when, if ever, material net cash inflows will commence from the sale of rilparencel or potential future product candidates, if approved. This is due to the numerous risks and uncertainties associated with developing product candidates, many of which are outside of our control, including the uncertainty of:</w:t>
      </w:r>
    </w:p>
    <w:p>
      <w:pPr>
        <w:spacing w:after="0" w:line="75"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and patients involved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of, clinical trials, as well as drop out or discontinuation rates;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trials with safety, tolerability and efficacy profiles that are satisfactory to the FDA and comparable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patient claims or other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rilparencel over other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rilparencel, if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rilparencel following approval.</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Any changes in the outcome of any of these variables could mean a significant change in the costs and timing associated with the development of our product candidates.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product candidates.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equity-based compensation expenses for individuals involved in our executive, finance, corporate and administrative functions, as well as expenses for outside professional services, including legal, audit, accounting and tax-related services and other consulting fees, facility-related expenses, which include depreciation costs and other allocated expenses for rent and maintenance of facilities, insurance costs, recruiting costs, travel expenses and other general and administrative expenses.</w:t>
      </w:r>
    </w:p>
    <w:p>
      <w:pPr>
        <w:spacing w:after="0" w:line="7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for the foreseeable future as our business expands and we hire additional personnel to support our operations.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9" w:name="page100"/>
    <w:bookmarkEnd w:id="99"/>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consists primarily of interest income earned on cash, cash equivalents and marketable securities.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1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reflects federal and state taxes on income earned by our subsidiary that is organized as a C corporation for U.S. income tax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this section we discuss the results of our operations for the year ended December 31, 2024 compared to the year ended December 31, 2023. For a discussion of the year ended December 31, 2023 compared to December 31, 2022, please refer to the “Management’s Discussion and Analysis of Financial Condition and Results of Operations” section of our Annual Report on Form 10-K filed with the U.S. Securities and Exchange Commission on March 22, 2024.</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8"/>
                <w:szCs w:val="18"/>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18"/>
                <w:szCs w:val="18"/>
                <w:color w:val="auto"/>
              </w:rPr>
            </w:pPr>
          </w:p>
        </w:tc>
      </w:tr>
      <w:tr>
        <w:trPr>
          <w:trHeight w:val="432"/>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127,668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106,707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20,961</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56,084</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11,269</w:t>
            </w:r>
          </w:p>
        </w:tc>
        <w:tc>
          <w:tcPr>
            <w:tcW w:w="100" w:type="dxa"/>
            <w:vAlign w:val="bottom"/>
          </w:tcPr>
          <w:p>
            <w:pPr>
              <w:spacing w:after="0"/>
              <w:rPr>
                <w:sz w:val="18"/>
                <w:szCs w:val="18"/>
                <w:color w:val="auto"/>
              </w:rPr>
            </w:pPr>
          </w:p>
        </w:tc>
      </w:tr>
      <w:tr>
        <w:trPr>
          <w:trHeight w:val="210"/>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183,752</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151,522</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(183,676 )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(151,522 )</w:t>
            </w: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(32,154 )</w:t>
            </w: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(2,331 )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(12 )</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before taxes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(163,933 )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(129,451 )</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(34,482 )</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(598 )</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(6,594 )</w:t>
            </w: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(163,335 )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(135,447 )</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(27,888 )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(102,149 )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(99,979 )</w:t>
            </w: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(2,170 )</w:t>
            </w: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available to Class A ordinary shareholders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(61,186 )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(35,468 )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(25,718 )</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-1173480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-1173480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-599440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-599440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expenses of approximately $21.0 million for the year ended December 31, 2024 compared to the year ended December 31, 2023 was primarily driven by the following:</w:t>
      </w:r>
    </w:p>
    <w:p>
      <w:pPr>
        <w:spacing w:after="0" w:line="54" w:lineRule="exact"/>
        <w:rPr>
          <w:sz w:val="20"/>
          <w:szCs w:val="20"/>
          <w:color w:val="auto"/>
        </w:rPr>
      </w:pPr>
    </w:p>
    <w:p>
      <w:pPr>
        <w:ind w:left="1020" w:right="200" w:hanging="503"/>
        <w:spacing w:after="0" w:line="261"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cash-based compensation and recruitment costs of approximately $12.2 million related to the hiring of additional employees in 2024;</w:t>
      </w:r>
    </w:p>
    <w:p>
      <w:pPr>
        <w:ind w:left="1020" w:right="280" w:hanging="503"/>
        <w:spacing w:after="0" w:line="250"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 of clinical study conduct and clinical product manufacturing materials of $7.7 million related primarily to the progress of our Phase 3 study as we resumed enrollment in PROACT 1;</w:t>
      </w:r>
    </w:p>
    <w:p>
      <w:pPr>
        <w:ind w:left="1020" w:right="240" w:hanging="503"/>
        <w:spacing w:after="0" w:line="250"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operational costs of $4.5 million as we continue to expand operations to support our Phase 3 clinical reflecting costs related to the remediation of quality management systems and processes in the first half of 2024; partially offset by</w:t>
      </w:r>
    </w:p>
    <w:p>
      <w:pPr>
        <w:ind w:left="1020" w:right="180" w:hanging="503"/>
        <w:spacing w:after="0" w:line="260"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equity-based compensation costs of approximately $3.4 million driven by awards forfeited by terminated employees as well as lower valuations for awards granted in 2024.</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expenses of approximately $11.3 million for the year ended December 31, 2024 compared to the year ended December 31, 2023 was primarily driven by the following:</w:t>
      </w:r>
    </w:p>
    <w:p>
      <w:pPr>
        <w:spacing w:after="0" w:line="54"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cash-based compensation and recruitment costs of approximately $5.4 million due to the hiring of additional personnel and</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severance costs incurred for terminated employees;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00" w:name="page101"/>
    <w:bookmarkEnd w:id="100"/>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an impairment charge of $5.3 million related to our Greensboro facility;</w:t>
      </w:r>
    </w:p>
    <w:p>
      <w:pPr>
        <w:spacing w:after="0" w:line="27"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equity-based compensation costs of $1.9 million related to additional awards granted to employees during 2024; partially offset by</w:t>
      </w: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operating costs of $2.1 million related to decreased legal costs, professional fees and other operating costs.</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decrease in interest income of approximately $2.3 million for the year ended December 31, 2024 as compared to the year ended December 31, 2023, was driven by interest received on lower average cash and investments in marketable debt securities balances as a result of ongoing research and development and general and administrative expenses, offset by $136.6 million of proceeds from a public offering in June 2024.</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increase in income tax expense of approximately $6.6 million for the year ended December 31, 2024 as compared to the year ended December 31, 2023, was driven primarily by the increase in the valuation allowance which was impacted by the timing of deductions for qualified research and development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From our inception through December 31, 2024, we funded our operations primarily through capital contributions from the holders of PKLP, the proceeds obtained through the Business Combination and related private placement financing and public equity offerings.</w:t>
      </w:r>
    </w:p>
    <w:p>
      <w:pPr>
        <w:spacing w:after="0" w:line="7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January 2024,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with Jefferies LLC as the sales agent, pursuant to which the Company may offer and sell, from time to time, through Jefferies, shares of its Class A ordinary shares, par value $0.0001 per share, having an aggregate offering price of up to $100.0 million by any method deemed to be an “at the market offering” as defined in Rule 415(a)(4) under the Securities Act (the “ATM Offering”). The shares are offered and sold pursuant to the Company’s shelf registration statement on Form S-3. As of December 31, 2024, we have sold $7.9 million worth of Class A ordinary shares under the Sales Agreement for net proceeds of $7.7 million, leaving $92.1 million available to be sold.</w:t>
      </w:r>
    </w:p>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June 2024, the Company sold 46,886,452 of its Class A ordinary shares in an underwritten public offering at a price of $2.42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in June 2024, the Company sold 11,030,574 of its Class A ordinary shares to certain investment entities at a price of $2.42 per share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 registered direct offering pursuant to share purchase agreements. The net proceeds to the Company from the offerings were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$136.7 million, after deducting the underwriting discounts and commissions and offering expenses payable by the Company. The shares were offered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 pursuant to the Company’s shelf registration statement on Form S-3.</w:t>
      </w:r>
    </w:p>
    <w:p>
      <w:pPr>
        <w:spacing w:after="0" w:line="99" w:lineRule="exact"/>
        <w:rPr>
          <w:sz w:val="20"/>
          <w:szCs w:val="20"/>
          <w:color w:val="auto"/>
        </w:rPr>
      </w:pPr>
    </w:p>
    <w:p>
      <w:pPr>
        <w:jc w:val="both"/>
        <w:ind w:right="480" w:firstLine="554"/>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held at December 31, 2024, will enable us to fund our operating expenses and capital expenditure requirements into mid-2027. We have based this estimate on assumptions that may prove to be wrong and we could exhaust our capital resources sooner than we expect.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to increase substantially if, and as, we:</w:t>
      </w:r>
    </w:p>
    <w:p>
      <w:pPr>
        <w:spacing w:after="0" w:line="117"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and clinical development of our product candidates, including in particular our clinical trials for rilparencel;</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third-party manufacturing costs to support our nonclinical studies and clinical trials of our product candidate and, if approved, its commercialization;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 in developing internal manufacturing capabilities;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our product candidates.</w:t>
      </w:r>
    </w:p>
    <w:p>
      <w:pPr>
        <w:spacing w:after="0" w:line="11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addition, since the closing of the Business Combination we have been incurring additional costs associated with operating as a public company, including significant legal, audit, accounting, investor and public relations, regulatory, tax-related, director and officer insurance premiums and other expenses. Developing pharmaceutical products, including conducting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1" w:name="page102"/>
    <w:bookmarkEnd w:id="101"/>
    <w:p>
      <w:pPr>
        <w:ind w:right="300"/>
        <w:spacing w:after="0" w:line="282" w:lineRule="auto"/>
        <w:rPr>
          <w:sz w:val="20"/>
          <w:szCs w:val="20"/>
          <w:color w:val="auto"/>
        </w:rPr>
      </w:pPr>
      <w:r>
        <w:rPr>
          <w:rFonts w:ascii="Times New Roman" w:cs="Times New Roman" w:eastAsia="Times New Roman" w:hAnsi="Times New Roman"/>
          <w:sz w:val="18"/>
          <w:szCs w:val="18"/>
          <w:color w:val="auto"/>
        </w:rPr>
        <w:t>we may obtain marketing approval. In addition, our product candidates, if approved, may not achieve commercial success. Our commercial revenues, if any, will be derived from sales of product that we do not expect to be commercially available for at least several years, if ever.</w:t>
      </w:r>
    </w:p>
    <w:p>
      <w:pPr>
        <w:spacing w:after="0" w:line="5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shareholders. Debt financing and equity financing, if available, may involve agreements that include covenants limiting or restricting our ability to take specific actions, such as incurring additional debt, making capital expenditures or declaring dividends.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 parties, we may have to relinquish valuable rights to our technology, future- revenue streams, research programs or product candidates or may have to grant licenses on terms that may not be favorable to us and/or may reduce the value of our shares. Our ability to raise additional funds may be adversely impacted by potential worsening global economic conditions and disruptions to and volatility in the credit and financial markets in the United States and worldwide. Because of the numerous risks and uncertainties associated with product development, we cannot predict the timing or amount of increased expenses, and there is no assurance that we will ever be profitable or generate positive cash flow from operating activities.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 for the Years Ended December 31, 2024 and 2023</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2024 and 2023 (in thousands):</w:t>
      </w:r>
    </w:p>
    <w:p>
      <w:pPr>
        <w:sectPr>
          <w:pgSz w:w="11900" w:h="16838" w:orient="portrait"/>
          <w:cols w:equalWidth="0" w:num="1">
            <w:col w:w="11220"/>
          </w:cols>
          <w:pgMar w:left="320" w:top="109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Net cash flows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140" w:right="1320"/>
        <w:spacing w:after="0" w:line="271" w:lineRule="auto"/>
        <w:rPr>
          <w:sz w:val="20"/>
          <w:szCs w:val="20"/>
          <w:color w:val="auto"/>
        </w:rPr>
      </w:pPr>
      <w:r>
        <w:rPr>
          <w:rFonts w:ascii="Times New Roman" w:cs="Times New Roman" w:eastAsia="Times New Roman" w:hAnsi="Times New Roman"/>
          <w:sz w:val="18"/>
          <w:szCs w:val="18"/>
          <w:color w:val="auto"/>
        </w:rPr>
        <w:t>Net cash flows provided by (used in) investing activities Net cash flows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-158750</wp:posOffset>
            </wp:positionV>
            <wp:extent cx="5700395"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8"/>
          <w:szCs w:val="18"/>
          <w:color w:val="auto"/>
        </w:rPr>
        <w:t>Net change in cash and cash equivalents</w:t>
      </w:r>
    </w:p>
    <w:p>
      <w:pPr>
        <w:spacing w:after="0" w:line="3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1"/>
        </w:trPr>
        <w:tc>
          <w:tcPr>
            <w:tcW w:w="26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(126,351</w:t>
            </w:r>
          </w:p>
        </w:tc>
        <w:tc>
          <w:tcPr>
            <w:tcW w:w="240" w:type="dxa"/>
            <w:vAlign w:val="bottom"/>
            <w:vMerge w:val="continue"/>
          </w:tcPr>
          <w:p>
            <w:pPr>
              <w:spacing w:after="0"/>
              <w:rPr>
                <w:sz w:val="16"/>
                <w:szCs w:val="16"/>
                <w:color w:val="auto"/>
              </w:rPr>
            </w:pPr>
          </w:p>
        </w:tc>
        <w:tc>
          <w:tcPr>
            <w:tcW w:w="26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(90,069</w:t>
            </w: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(329,983 )</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144,408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(9,551 )</w:t>
            </w:r>
          </w:p>
        </w:tc>
        <w:tc>
          <w:tcPr>
            <w:tcW w:w="0" w:type="dxa"/>
            <w:vAlign w:val="bottom"/>
          </w:tcPr>
          <w:p>
            <w:pPr>
              <w:spacing w:after="0"/>
              <w:rPr>
                <w:sz w:val="1"/>
                <w:szCs w:val="1"/>
                <w:color w:val="auto"/>
              </w:rPr>
            </w:pPr>
          </w:p>
        </w:tc>
      </w:tr>
      <w:tr>
        <w:trPr>
          <w:trHeight w:val="210"/>
        </w:trPr>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38,471</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(429,603</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0" w:lineRule="exact"/>
        <w:rPr>
          <w:sz w:val="20"/>
          <w:szCs w:val="20"/>
          <w:color w:val="auto"/>
        </w:rPr>
      </w:pPr>
    </w:p>
    <w:p>
      <w:pPr>
        <w:sectPr>
          <w:pgSz w:w="11900" w:h="16838" w:orient="portrait"/>
          <w:cols w:equalWidth="0" w:num="2">
            <w:col w:w="6540" w:space="720"/>
            <w:col w:w="3960"/>
          </w:cols>
          <w:pgMar w:left="320" w:top="1093" w:right="359" w:bottom="1440" w:gutter="0" w:footer="0" w:header="0"/>
          <w:type w:val="continuous"/>
        </w:sect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approximately $126.4 million for the year ended December 31, 2024, reflecting a net loss before noncontrolling interest of approximately $163.3 million. Such uses were offset by changes in working capital of approximately $4.0 million and non-cash charges and gains on investments of $33.0 million. The non-cash charges primarily consisted of equity-based compensation expense of $29.4 million, depreciation and amortization expense of $5.4 million, an impairment charge of $5.3 million and gains on investments in marketable securities of $7.0 million. The changes in working capital primarily relate to the timing of payments made to our vendors for services performed.</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approximately $90.1 million for the year ended December 31, 2023, reflecting a net loss before noncontrolling interest of approximately $135.4 million. Such uses were offset by changes in working capital of approximately $16.7 million and non-cash charges and gains on investments of $28.7 million. The non-cash charges primarily consisted of equity-based compensation expense of $30.8 million, depreciation and amortization expense of $3.9 million and gains on investments in marketable securities of $6.0 million. The changes in working capital primarily relate to the timing of payments made to our vendors for services performed.</w:t>
      </w:r>
    </w:p>
    <w:p>
      <w:pPr>
        <w:spacing w:after="0" w:line="75"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approximate $36.3 million increase in cash used in operating activities for the year ended December 31, 2024 compared to the year ended December 31, 2023 was primarily driven by an increase in net loss before noncontrolling interest after adjusting for the non-cash charges and gains on investments of approximately $24.3 million coupled with the impact of changes in working capital driven by the timing of payments to our vendors.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color w:val="auto"/>
        </w:rPr>
        <w:t>Net cash provided by (used in) investing activities were approximately $20.4 million and $(330.0 million) for the years ended December 31, 2024 and 2023, respectively. The cash provided by investment activities during the year ended December 31, 2024 was primarily related to net investment activity of $49.9 million partially offset by the purchase of two facilities in Winston-Salem, North</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type w:val="continuous"/>
        </w:sectPr>
      </w:pPr>
    </w:p>
    <w:bookmarkStart w:id="102" w:name="page103"/>
    <w:bookmarkEnd w:id="102"/>
    <w:p>
      <w:pPr>
        <w:jc w:val="both"/>
        <w:spacing w:after="0" w:line="266" w:lineRule="auto"/>
        <w:rPr>
          <w:sz w:val="20"/>
          <w:szCs w:val="20"/>
          <w:color w:val="auto"/>
        </w:rPr>
      </w:pPr>
      <w:r>
        <w:rPr>
          <w:rFonts w:ascii="Times New Roman" w:cs="Times New Roman" w:eastAsia="Times New Roman" w:hAnsi="Times New Roman"/>
          <w:sz w:val="18"/>
          <w:szCs w:val="18"/>
          <w:color w:val="auto"/>
        </w:rPr>
        <w:t>Carolina that we occupied subject to real estate leases for $22.5 million. The cash used in investing activities during the year ended December 31, 2023 was primarily related to the investment of a portion of the proceeds raised through the Business Combination in marketable securities coupled with the purchase of land and a building in Greensboro, North Carolina for $25.5 million.</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(used in) financing activities was $144.4 million and $(9.6 million) for the years ended December 31, 2024 and 2023, respectively. The cash provided by financing activities for the year ended December 31, 2024 was related to the sale of our Class A ordinary shares while cash used in financing activities for the year ended December 31, 2023 was primarily related to the repurchase of our Class A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Our consolidated financial statements are prepared in accordance with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to our audited consolidated financial statements included elsewhere in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included in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our consolidated financial statements may not be comparable to the financial statements of companies that are required to comply with the effective dates for new or revised accounting standards that are applicable to public companies, which may make our ordinary shares less attractive to investors.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our Financial Statements and Supplementary Data listed in Item 15 of Part IV of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80" w:firstLine="509"/>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w:t>
      </w: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3" w:name="page104"/>
    <w:bookmarkEnd w:id="103"/>
    <w:p>
      <w:pPr>
        <w:ind w:right="120"/>
        <w:spacing w:after="0" w:line="261" w:lineRule="auto"/>
        <w:rPr>
          <w:sz w:val="20"/>
          <w:szCs w:val="20"/>
          <w:color w:val="auto"/>
        </w:rPr>
      </w:pPr>
      <w:r>
        <w:rPr>
          <w:rFonts w:ascii="Times New Roman" w:cs="Times New Roman" w:eastAsia="Times New Roman" w:hAnsi="Times New Roman"/>
          <w:sz w:val="18"/>
          <w:szCs w:val="18"/>
          <w:color w:val="auto"/>
        </w:rPr>
        <w:t>15d-15(e) of the Securities Exchange Act of 1934) as of December 31, 2024. Based upon that evaluation, our Chief Executive Officer and Chief Financial Officer concluded that, as of December 31, 2024,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with SEC disclosure obligations.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8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reporting purposes in accordance with generally accepted accounting principles. Our internal control over financial reporting includes those written policies and procedures that:</w:t>
      </w:r>
    </w:p>
    <w:p>
      <w:pPr>
        <w:spacing w:after="0" w:line="72"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receipts and expenditures are being made only in accordance with management and director authorization; and</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2024. Management based this assessment on criteria described in Internal Control - Integrated Framework (2013) issued by the Committee of Sponsoring Organizations of the Treadway Commission (COSO). Based on this assessment, management determined that as of December 31, 2024, we maintained effective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760" w:firstLine="509"/>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2024, none of the Company’s directors or officers adopted or terminated a “Rule 10b5-1 trading arrangement” or “non-Rule 10b5-1 trading arrangement,” as those terms are defined in Regulation S-K, Item 408, that was intended to satisfy the affirmative defense conditions of Rule 10b5-1(c).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4" w:name="page105"/>
    <w:bookmarkEnd w:id="104"/>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Set forth below are the names of our directors, their ages, their offices in the Company, if any, their principal occupations or employment for at least the past five years, the length of their tenure as directors and the names of other public companies in which such persons hold or have held directorships during the past five years as of December 31, 2024. Additionally, information about the specific experience, qualifications, attributes or skills that led to the Board’s conclusion at the time of filing of this Annual Report that each person listed below should serve as a director is set forth below:</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5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Age</w:t>
            </w:r>
          </w:p>
        </w:tc>
        <w:tc>
          <w:tcPr>
            <w:tcW w:w="320" w:type="dxa"/>
            <w:vAlign w:val="bottom"/>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Pablo Legorreta</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shd w:val="clear" w:color="auto" w:fill="CFF0FC"/>
          </w:tcPr>
          <w:p>
            <w:pPr>
              <w:spacing w:after="0"/>
              <w:rPr>
                <w:sz w:val="18"/>
                <w:szCs w:val="18"/>
                <w:color w:val="auto"/>
              </w:rPr>
            </w:pPr>
          </w:p>
        </w:tc>
        <w:tc>
          <w:tcPr>
            <w:tcW w:w="5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Chairman of the Board, Director</w:t>
            </w: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Culleton, M.D.</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Pr>
          <w:p>
            <w:pPr>
              <w:spacing w:after="0"/>
              <w:rPr>
                <w:sz w:val="18"/>
                <w:szCs w:val="18"/>
                <w:color w:val="auto"/>
              </w:rPr>
            </w:pPr>
          </w:p>
        </w:tc>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William F. Doyle</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shd w:val="clear" w:color="auto" w:fill="CFF0FC"/>
          </w:tcPr>
          <w:p>
            <w:pPr>
              <w:spacing w:after="0"/>
              <w:rPr>
                <w:sz w:val="18"/>
                <w:szCs w:val="18"/>
                <w:color w:val="auto"/>
              </w:rPr>
            </w:pPr>
          </w:p>
        </w:tc>
        <w:tc>
          <w:tcPr>
            <w:tcW w:w="5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Fox</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8"/>
                <w:szCs w:val="18"/>
                <w:color w:val="auto"/>
              </w:rPr>
            </w:pPr>
          </w:p>
        </w:tc>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José Ignacio Jiménez Santos</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shd w:val="clear" w:color="auto" w:fill="CFF0FC"/>
          </w:tcPr>
          <w:p>
            <w:pPr>
              <w:spacing w:after="0"/>
              <w:rPr>
                <w:sz w:val="18"/>
                <w:szCs w:val="18"/>
                <w:color w:val="auto"/>
              </w:rPr>
            </w:pPr>
          </w:p>
        </w:tc>
        <w:tc>
          <w:tcPr>
            <w:tcW w:w="5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Alan M. Lotvin, M.D.</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spacing w:after="0"/>
              <w:rPr>
                <w:sz w:val="18"/>
                <w:szCs w:val="18"/>
                <w:color w:val="auto"/>
              </w:rPr>
            </w:pPr>
          </w:p>
        </w:tc>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Brian J.G. Pereira, M.D.</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CFF0FC"/>
          </w:tcPr>
          <w:p>
            <w:pPr>
              <w:spacing w:after="0"/>
              <w:rPr>
                <w:sz w:val="18"/>
                <w:szCs w:val="18"/>
                <w:color w:val="auto"/>
              </w:rPr>
            </w:pPr>
          </w:p>
        </w:tc>
        <w:tc>
          <w:tcPr>
            <w:tcW w:w="5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Uma Sinha, Ph.D.</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20"/>
                <w:szCs w:val="20"/>
                <w:color w:val="auto"/>
              </w:rPr>
            </w:pPr>
          </w:p>
        </w:tc>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Pablo Legorreta</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Mr. Legorreta has served as Chairman of the Board and a director on the board of directors of ProKidney Corp. GP Limited (“GP Board”), the general partner of PKLP since the Closing. Mr. Legorreta served on the board of ProKidney GP Limited (“Legacy GP”) (the “Legacy GP Board”) from August 2021 until the Closing, as a director of the board of ProKidney-KY (the “ProKidney-KY Board”) since January 2019, and as a manager of ProKidney LLC, a limited liability company incorporated under the laws of Bermuda, since January 2019. Legacy GP was dissolved on January 8, 2024, in accordance with the laws of Ireland.</w:t>
      </w:r>
    </w:p>
    <w:p>
      <w:pPr>
        <w:spacing w:after="0" w:line="75"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Mr. Legorreta is the founder and has served as Chief Executive Officer of Royalty Pharma plc (Nasdaq: RPRX), a rapidly growing biopharma company and one of the largest dedicated life sciences investors in the world, since September 1996. Mr. Legorreta has also served as the Chairman of the board of directors of Royalty Pharma plc since April 2020. Mr. Legorreta has over 25 years of experience building and managing Royalty Pharma plc. Additionally, Mr. Legorreta is a co-founder of Pharmakon Advisors, LP, a leading provider of debt capital to the life sciences industry, where he has served as a managing member, since April 2009. Mr. Legorreta has served as a director of Epizyme, Inc. (Nasdaq: EPZM), a fully integrated, commercial-stage biopharmaceutical company developing and delivering novel epigenetic therapies, since November 2019. Mr. Legorreta has served on the Board of Governors of the New York Academy of Sciences since January 2015, the Board of Trustees of Rockefeller University since March 2017, and the Board of Trustees and Compensation, Research and Innovation and Development Committees of the Hospital for Special Surgery since January 2015. Mr. Legorreta has also served on the boards of Brown University; Pasteur Foundation (French: Institut Pasteur), a French non-profit private foundation dedicated to the study of biology, micro-organisms, diseases, and vaccines; Open Medical Institute, an international initiative for medical professionals, which through education and research, aims to improve healthcare on a global scale; and The Park Avenue Armory, a nonprofit cultural institution within the historic Seventh Regiment Armory. Mr. Legorreta is the founder and Chairman of Alianza Me´dica para la Salud, a non-profit organization dedicated to enhancing the quality of health care in Latin America by providing doctors and healthcare providers with continued education opportunities. Since its foundation in December 2010, AMSA has provided over 500 scholarships to Mexican and Latin American doctors and healthcare providers to study abroad. Mr. Legorreta is also a founding member of Mount Sinai’s new Institute for Health Equity Research, which is created in May 2020 in part as a response to the health inequities made apparent by COVID-19.</w:t>
      </w:r>
    </w:p>
    <w:p>
      <w:pPr>
        <w:spacing w:after="0" w:line="8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Mr. Legorreta received his B.A. degree in Industrial Engineering from Universidad Iberoamericana in Mexico City. We believe that Mr. Legorreta’s experience in investing in pharmaceutical royalties and managing a growing life sciences investment company, as well as significant background in investment banking and debt financing provide him with the qualifications and skills to serve as the Chairman and a member of the Board.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Bruce Culleton, M.D.</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Dr. Culleton has served on our Board and as our Chief Executive Officer, as well as a director on the GP Board, since November 2023. Prior to his appointment as Chief Executive Officer, Dr. Culleton served as the Company’s Executive Vice President,</w:t>
      </w: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5" w:name="page106"/>
    <w:bookmarkEnd w:id="105"/>
    <w:p>
      <w:pPr>
        <w:ind w:right="140"/>
        <w:spacing w:after="0" w:line="282" w:lineRule="auto"/>
        <w:rPr>
          <w:sz w:val="20"/>
          <w:szCs w:val="20"/>
          <w:color w:val="auto"/>
        </w:rPr>
      </w:pPr>
      <w:r>
        <w:rPr>
          <w:rFonts w:ascii="Times New Roman" w:cs="Times New Roman" w:eastAsia="Times New Roman" w:hAnsi="Times New Roman"/>
          <w:sz w:val="18"/>
          <w:szCs w:val="18"/>
          <w:color w:val="auto"/>
        </w:rPr>
        <w:t>Clinical Development &amp; Commercialization since July 2023. He has more than two decades of experience in industry and academia with a primary focus on kidney health.</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Prior to joining the Company, Dr. Culleton served as the Vice President and General Manager of CVS Kidney Care, LLC, a subsidiary of CVS Health Corporation (NYSE: CVS), a health solutions company, from June 2022 to July 2023. Previously, he served as Vice President and Chief Medical Officer at CVS Kidney Care from October 2017 to June 2022. Before joining CVS Health Corporation, he was Vice President, Global Clinical Development and World Wide Vice President, Medical Affairs, Medication and Procedural Solutions at Becton, Dickinson and Company (NYSE: BDX), a global medical technology company, from 2016 to 2017; and previously Vice President, Renal Therapeutic Area at Baxter International Inc. (NYSE: BAX), a healthcare company, from 2007 to 2016. Prior to beginning his industry career in 2007, Dr. Culleton was a Clinical Associate Professor, Department of Medicine at the University of Calgary. Dr. Culleton holds a Bachelor’s degree in Medical Science and a Doctor of Medicine degree from Memorial University of Newfoundland, and a Master’s degree in Business Administration from Northwestern University, Kellogg School of Management. He completed a specialization in Internal Medicine and Nephrology through the Royal College of Physicians and Surgeons of Canada, as well as a fellowship in Clinical Epidemiology at Boston University, Framingham Heart Study. We believe that Dr. Culleton’s qualifications to serve as a member of the Board include his knowledge of our business as our Chief Executive Officer and his extensive leadership experience in the healthcare industry.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William F. Doyle</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Mr. Doyle has served on the Board since the Closing. Mr. Doyle was a member of the Legacy GP Board from January 2022 until the Closing and has served on the ProKidney-KY Board, since January 2022. Mr. Doyle is a recognized expert in medical devices commercialization with over 30 years’ experience in the advanced technology and healthcare industries as an entrepreneur, executive and investor. He has served as Executive Chairman of NovoCure Limited (Nasdaq: NVCR), a commercial-stage oncology company which is currently developing Tumor Treating Fields, a new therapy for solid tumor cancers (“NovoCure”), since May 2016 and a member of the board of directors of NovoCure since February, 2004.</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Previously, Mr. Doyle was a member of the Johnson &amp; Johnson’s (NYSE: JNJ) Medical Devices and Diagnostics Group Operating Committee and was the Vice President, Licensing and Acquisitions from 1994 to 1999. While at Johnson &amp; Johnson, Mr. Doyle was also the Worldwide President of Biosense-Webster, Inc. and a member of the board of directors of Johnson &amp; Johnson Development Corporation, Johnson &amp; Johnson’s venture capital subsidiary.</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Mr. Doyle has served as a member of the board of directors of Elanco Animal Health, Inc. (NYSE: ELAN), a global leader in animal health dedicated to innovating and delivering products and services to prevent and treat disease in farm animals and pets, creating value for farmers, pet owners, veterinarians, stakeholders, and society as a whole, since October 2020. Previously, Mr. Doyle served as a member of the board of directors of OptiNose, Inc. (Nasdaq: OPTN), a pharmaceutical company focused on patients treated by ear, nose and throat (ENT) and allergy specialists, from June 2004 to October 2020, and Zoetis, Inc. (NYSE: ZTS), a leading animal health company, dedicated to supporting its customers and their businesses, from February 2015 to March 2016 and Minerva Neurosciences, Inc. (Nasdaq: NERV), a clinical-stage biopharmaceutical company focused on the development of therapies to treat central nervous system disorders, from November 2017 to May 2023. Mr. Doyle earned his S.B. in Materials Science and Engineering from Massachusetts Institute of Technology and his M.B.A. from Harvard Business School. We believe Mr. Doyle is qualified to serve on the Board due to his business and investment experience and his extensive knowledge of ProKidney and the healthcare industry.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Jennifer Fox</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Ms. Fox has served on the Board and as the Chair of its Audit Committee since July 2022. She also has been a board member and chair of the audit committee at Apogee Therapeutics, Inc. (Nasdaq; APGE) since July 2023. She has served as the co-chair of Life Science Cares New York since August 2022, where she is also a member of its National Committee, since December 2023. Ms. Fox has served as the Chief Business Officer and Chief Financial Officer of Zenas BioPharma since December 2023. Prior to that role, Ms. Fox served as the Chief Financial Officer of Nuvation Bio Inc. from October 2020 to November 2023. Previous to that, Ms. Fox served as Managing Director, Co-Head of North America Healthcare Corporate and Investment Banking Group at Citigroup from June 2015 to October 2020. From February 2006 to June 2015, Ms. Fox served as Managing Director at Deutsche Bank, most recently also as Co-Head of Life Sciences Investment Banking Group. Prior to that, Ms. Fox served as Senior Managing Director Healthcare Investment Banking at Bear Stearns, Vice President Healthcare Investment Banking at Bank of America and Financial Analyst, Investment Banking Analyst, Associate, Vice President, Health Care Investment Banking at Prudential Vector Healthcare Group and Prudential Securities Incorporated. Ms. Fox received B.S. degrees in Finance and Marketing from Manhattan College. We believe that Ms. Fox is qualified to serve on the Board because she has over 25 years of experience in the healthcare investment banking industry and has been a lead advisor to life sciences companies on over 200 financing and strategic transactions.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i w:val="1"/>
          <w:iCs w:val="1"/>
          <w:color w:val="auto"/>
        </w:rPr>
        <w:t>José Ignacio Jiménez Santos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Mr. Jiménez Santos has served on the Board since the Closing and was a member of the Legacy GP Board from August 2021 until the Closing. Mr. Jiménez Santos has served as the Chief Executive Officer of Afore Inbursa since August 2015 and the Chief Investment Officer of Grupo Financiero Inbursa, SAB de C.V., a public company registered on the Mexican Stock Exchange, since August 2013. Mr. Jiménez Santos served on the board of directors of Procesar SA de C.V., a private company that provides data processing services, from May 2019 to May 2022. Mr. Jiménez Santos also serves on the board of directors of Glycosyn, a private biotechnology company developing products based on unique bioactive sugars found in human milk. Mr. Jiménez Santos received his bachelor’s degree in economics and finance from the Instituto Tecnológico Autonomo de México. We believe that Mr. Jiménez Santos’ combined experience in finance, international investments and the biotechnology industry provide him with the qualifications and skills to serve as a member of the Board.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Alan M. Lotvin, M.D.</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Dr. Lotvin has served on the Board since the Closing. Dr. Lotvin was a member of the Legacy GP Board from January 2022 until the Closing and has served on the ProKidney KY-Board since January 2022. Dr. Lotvin has served as the Chief Executive Officer and a Director at Sequel Med Tech, LLC, a medical devices company, since June 2023. Prior to that, Dr. Lotvin served as Executive Vice President at CVS Health Corp (NYSE: CVS), a leading health solutions company, from November 2012 to April 2023, and the President of CVS Caremark since March 2020. Prior to that, Dr. Lotvin served as the Executive Vice President—Transformation at CVS Health Corporation from June 2018 to February 2020 and the Executive Vice President—Specialty Pharmacy at CVS Caremark from November 2012 to May 2018. Dr. Lotvin has extensive experience in the pharmacy benefit management (“PBM”) and specialty pharmacy industries. Before joining CVS Health Corp, Dr. Lotvin was the President and Chief Executive Officer of ICORE Healthcare, a Magellan Health Services company, and prior to that, Dr. Lotvin held senior positions in the PBM industry. Dr. Lotvin earned his B.S. in Biochemistry from Stony Brook University, his M.D. in Medicine from SUNY Downstate Health Sciences University, and his M.A. in Medical Informatics from Columbia University Graduate School of Arts and Sciences. We believe Dr. Lotvin is qualified to serve on the Board due to his extensive knowledge of ProKidney and the healthcare industry.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Brian J. G. Pereira, M.D.</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Dr. Pereira has served on the Board since the Closing and was a member of the Legacy GP Board from January 2022 until the Closing. Dr. Pereira has served as the Chief Executive Officer and member of the Board of Directors of Visterra Inc., a clinical-stage biotechnology company committed to developing innovative antibody-based therapies for the treatment of patients with kidney diseases and other hard-to-treat diseases. Visterra Inc was acquired by Otsuka in 2018 and is a subsidiary of Otsuka America Inc., a global healthcare company listed on the Tokyo Stock Exchange. Dr. Pereira is a nationally recognized expert on kidney diseases, is the former Editor of the widely read textbook “Chronic Kidney Disease, Dialysis and Transplantation,” and has over 200 scientific papers to his credit. He currently serves on the board of directors of Africa Healthcare Network, Ltd, a dialysis provider, and as the Chairman of the Board of directors of KalVista Pharmaceuticals, Inc. (Nasdaq: KALV), a pharmaceutical company focused on the discovery, development, and commercialization of small molecule protease inhibitors for diseases with significant unmet need. He was the former Executive Chairman of the Board of directors of Abeona Therapeutics Inc. (Nasdaq: ABEO), a clinical-stage biopharmaceutical company developing gene and cell therapies for serious diseases and member of the Board of directors of Cullinan Pearl Corp, a privately held biotechnology company and subsidiary of Cullinan Oncology, Inc. (Nasdaq: CGEM), an oncology company and has served on several for-profit and non-profit company Boards. Dr. Pereira is a graduate of St. John’s Medical College, Bangalore, India and has an MBA from the Kellogg Business School, Northwestern University. Dr. Pereira obtained his D.M. in Nephrology and M.D. in Internal Medicine from Post Graduate Institute, Chandigarh, India. We believe Dr. Pereira’s qualifications to serve on the Board include his extensive experience with pharmaceutical companies, and his years of experience providing services to pharmaceutical and biotechnology organizations, including evaluating business plans involving clinical trials.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Uma Sinha, Ph.D.</w:t>
      </w:r>
    </w:p>
    <w:p>
      <w:pPr>
        <w:spacing w:after="0" w:line="11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Dr. Sinha has served on the Board since the Closing. Dr. Sinha was a member of the SCS Board from September 2021 until the Closing. In April, 2016, Dr. Sinha was appointed the Chief Scientific Officer of BridgeBio Pharma, Inc. (“BridgeBio”) (Nasdaq: BBIO) and serves as the Chief Scientific Officer of other BridgeBio subsidiaries, including Eidos Therapeutics. Prior to that, Dr. Sinha served as Chief Scientific Officer of Global Blood Therapeutics, Inc., a clinical-stage biopharmaceutical company, from 2014 to 2015 and as Senior Vice President of research from 2013 to 2014. She was Vice President, head of biology at Portola Pharmaceuticals, Inc., a clinical-stage biotechnology company, from 2010 to 2012 and was the Vice President of translational biology from 2004 to 2010. Previously, Dr. Sinha held senior research positions at Millennium Pharmaceuticals, Inc., a biopharmaceutical company, and COR Therapeutics, Inc., a biopharmaceutical company. Dr. Sinha was formerly a director of Eidos Therapeutics (Nasdaq: EIDX) from December 2019 through February 2021. Dr. Sinha received her Ph.D. in biochemistry from the University of Georgia and her B.Sc. with honors in chemistry from Presidency College. We believe Dr. Sinha’s qualifications to serve on the Board include her significant scientific experience in the biopharmaceutical industry.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107" w:name="page108"/>
    <w:bookmarkEnd w:id="107"/>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as of March 17, 2025 regarding our executive officers who are not also directors. We have employment agreements with all of our executive officers.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Age</w:t>
            </w:r>
          </w:p>
        </w:tc>
        <w:tc>
          <w:tcPr>
            <w:tcW w:w="280" w:type="dxa"/>
            <w:vAlign w:val="bottom"/>
          </w:tcPr>
          <w:p>
            <w:pPr>
              <w:spacing w:after="0"/>
              <w:rPr>
                <w:sz w:val="20"/>
                <w:szCs w:val="20"/>
                <w:color w:val="auto"/>
              </w:rPr>
            </w:pPr>
          </w:p>
        </w:tc>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360" w:type="dxa"/>
            <w:vAlign w:val="bottom"/>
            <w:shd w:val="clear" w:color="auto" w:fill="CFF0FC"/>
          </w:tcPr>
          <w:p>
            <w:pPr>
              <w:spacing w:after="0"/>
              <w:rPr>
                <w:sz w:val="18"/>
                <w:szCs w:val="18"/>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Coulston, CPA</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8"/>
                <w:szCs w:val="18"/>
                <w:color w:val="auto"/>
              </w:rPr>
            </w:pP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98"/>
        </w:trPr>
        <w:tc>
          <w:tcPr>
            <w:tcW w:w="28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Darin J. Weber, Ph.D.</w:t>
            </w:r>
          </w:p>
        </w:tc>
        <w:tc>
          <w:tcPr>
            <w:tcW w:w="106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56</w:t>
            </w:r>
          </w:p>
        </w:tc>
        <w:tc>
          <w:tcPr>
            <w:tcW w:w="280" w:type="dxa"/>
            <w:vAlign w:val="bottom"/>
            <w:shd w:val="clear" w:color="auto" w:fill="CFF0FC"/>
          </w:tcPr>
          <w:p>
            <w:pPr>
              <w:spacing w:after="0"/>
              <w:rPr>
                <w:sz w:val="17"/>
                <w:szCs w:val="17"/>
                <w:color w:val="auto"/>
              </w:rPr>
            </w:pPr>
          </w:p>
        </w:tc>
        <w:tc>
          <w:tcPr>
            <w:tcW w:w="636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Chief Regulatory Officer, SVP, Global Regulatory, Quality</w:t>
            </w:r>
          </w:p>
        </w:tc>
      </w:tr>
      <w:tr>
        <w:trPr>
          <w:trHeight w:val="234"/>
        </w:trPr>
        <w:tc>
          <w:tcPr>
            <w:tcW w:w="2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&amp; Commercial</w:t>
            </w: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C. Girolamo, J.D., MBA</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Pr>
          <w:p>
            <w:pPr>
              <w:spacing w:after="0"/>
              <w:rPr>
                <w:sz w:val="20"/>
                <w:szCs w:val="20"/>
                <w:color w:val="auto"/>
              </w:rPr>
            </w:pP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James Coulston, CPA</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Mr. Coulston has served as our Chief Financial Officer since the Closing, having served the Chief Financial Officer of ProKidney-US since January 2022. Prior to that, Mr. Coulston served as ProKidney-US’s Senior Vice President, Finance from January 2021 to December 2021 and ProKidney-US’s Vice President, Finance from February 2019 to December 2020. Before joining ProKidney, from August 2015 to January 2019, Mr. Coulston served as the Executive Director, Finance of Banner Life Sciences LLC, a privately held clinical-stage pharmaceutical company combining a proven history of formulation expertise with proprietary technologies to create specialty pharmaceuticals that solve real unmet clinical needs, where Mr. Coulston oversaw the financial, human resources, and IT activities. From 2007 to 2015, Mr. Coulston held finance roles of increasing responsibility at Targacept Inc. (Nasdaq: TRGT), a clinical-stage biopharmaceutical company developing novel NNR Therapeutics™ before it merged with and into Catalyst Biosciences, Inc. (Nasdaq: CBIO), a clinical-stage biopharmaceutical company focused on creating and developing novel medicines to address serious medical conditions, including Senior Director, Finance and Controller. Mr. Coulston earned his B.S. and master’s degree in Accounting from North Carolina State University and is a Certified Public Accountant in the state of North Carolina.</w:t>
      </w: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Darin J. Weber, Ph.D.</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Dr. Weber has served as our Senior Vice President of Regulatory Development since the Closing, having served as ProKidney-US’s Senior Vice President of Regulatory Development since September 2020, where he is responsible for leading the development and implementation of ProKidney’s regulatory strategy in all markets, worldwide, and interfacing with regulatory authorities. Dr. Weber has over 25 years of experience in cellular and tissue-based regenerative medicine products, with previous roles as Senior Vice President of Regulatory and Quality at Medeor Therapeutics, from February 2016 to December 2019; Executive Vice President of Global Regulatory Affairs and Quality Management at Mesoblast, from June 2011 to February 2016; Senior Consultant for Cell and Gene Therapies at Biologics Consulting Group from February 2004 to May 2011, and positions of increasing responsibility at the FDA’s CBER, including as Chief of Cellular Therapies Branch in the Office of Cellular, Tissues and Gene Therapies, (now known as the Office of Therapeutic Products) from September 1996 to January 2004. He is a long-serving member of United States Pharmacopeia (USP) expert committees for human tissues and advanced therapies. Dr. Weber received his B.S. in Molecular Biology from The Evergreen State College and a Ph.D. in Biochemistry and Biophysics from Oregon State University.</w:t>
      </w: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Todd C. Girolamo</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Mr. Girolamo has served as our Chief Legal Officer since the Closing and as the Chief Legal Officer of ProKidney-US since March 2022. Prior to that, Mr. Girolamo spent 11 years at Caladrius Biosciences, Inc. (Nasdaq: CLBS) (now Lisata Therapeutics, Inc. (Nasdaq: LSTA)), where he served as Chief Legal Officer, Senior Vice President of Corporate Development and Corporate Secretary. Mr. Girolamo began his legal career at Cahill Gordon &amp; Reindel in 1990 and later at Reid &amp; Priest, practicing in the areas of securities law, intellectual property, employment law and general commercial litigation. After private practice, Mr. Girolamo spent 12 years on Wall Street in institutional equities as a series 24, 7 and 63 licensed principal at Oppenheimer &amp; Co., CIBC World Markets, Leerink Swann and Summer Street Research Partners where he specialized in equity research, sales, and trading of biotechnology, pharmaceuticals and medical technology market sectors. Mr. Girolamo then served as an analyst and portfolio manager at Lion’s Path Capital managing a long-short portfolio of biopharma and med-tech equities. Mr. Girolamo received an A.B. with honors from Harvard College, a J.D. from the University of Pennsylvania Law School and an MBA from Columbia Business School.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and Meetings</w:t>
      </w:r>
    </w:p>
    <w:p>
      <w:pPr>
        <w:spacing w:after="0" w:line="11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Meeting Attendance. </w:t>
      </w:r>
      <w:r>
        <w:rPr>
          <w:rFonts w:ascii="Times New Roman" w:cs="Times New Roman" w:eastAsia="Times New Roman" w:hAnsi="Times New Roman"/>
          <w:sz w:val="18"/>
          <w:szCs w:val="18"/>
          <w:color w:val="auto"/>
        </w:rPr>
        <w:t>During the fiscal year ended December 31, 2024 there were five meetings of the Board, and the various committees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met a total of fourteen times. No director attended fewer than 75% of the total number of meetings of the Board and of committees of the Board on which he or she served during fiscal 2024, except for William F. Doyle, who attended six of the eleven meetings of the Board and committees. The Board has adopted a policy under which each member of the Board makes reasonable best efforts to attend each annual general meeting of our shareholders.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8" w:name="page109"/>
    <w:bookmarkEnd w:id="108"/>
    <w:p>
      <w:pPr>
        <w:ind w:left="520"/>
        <w:spacing w:after="0"/>
        <w:rPr>
          <w:sz w:val="20"/>
          <w:szCs w:val="20"/>
          <w:color w:val="auto"/>
        </w:rPr>
      </w:pPr>
      <w:r>
        <w:rPr>
          <w:rFonts w:ascii="Times New Roman" w:cs="Times New Roman" w:eastAsia="Times New Roman" w:hAnsi="Times New Roman"/>
          <w:sz w:val="18"/>
          <w:szCs w:val="18"/>
          <w:color w:val="auto"/>
        </w:rPr>
        <w:t>The Board has three committees: the Audit Committee, the Talent and Compensation Committee and the Nominating and Governance Committee.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Audit Committee met four times during fiscal 2024. This committee currently has three members, Jennifer Fox, who serves as the chairperson, Brian J. G. Pereira, M.D. and Alan M. Lotvin, M.D. Additionally, William F. Doyle served on the audit committee until August 2024. Each member of the Audit Committee qualifies as an independent director under the Nasdaq Listing Rules and the independence requirements of Rule 10A-3 under the Exchange Act. The Board has determined that each of Ms. Fox and Dr. Pereira qualifies as an “audit committee financial expert” as such term is defined in Item 407(d)(5) of Regulation S-K and possesses financial sophistication, as defined under the rules of the Nasdaq. Please also see the report of the Audit Committee set forth elsewhere in this Annual Report on Form 10-K.</w:t>
      </w:r>
    </w:p>
    <w:p>
      <w:pPr>
        <w:spacing w:after="0" w:line="7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Audit Committee’s role and responsibilities are set forth in the Audit Committee’s written charter and its primary purpose is to discharge the responsibilities of the Board with respect to corporate accounting and financial reporting processes, systems of internal control and financial statement audits, and to oversee our independent registered public accounting firm. Specific responsibilities of the Audit Committee include:</w:t>
      </w:r>
    </w:p>
    <w:p>
      <w:pPr>
        <w:spacing w:after="0" w:line="81" w:lineRule="exact"/>
        <w:rPr>
          <w:sz w:val="20"/>
          <w:szCs w:val="20"/>
          <w:color w:val="auto"/>
        </w:rPr>
      </w:pPr>
    </w:p>
    <w:p>
      <w:pPr>
        <w:ind w:left="1300" w:hanging="563"/>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oversee corporate accounting and financial reporting processes;</w:t>
      </w:r>
    </w:p>
    <w:p>
      <w:pPr>
        <w:spacing w:after="0" w:line="130" w:lineRule="exact"/>
        <w:rPr>
          <w:rFonts w:ascii="Times New Roman" w:cs="Times New Roman" w:eastAsia="Times New Roman" w:hAnsi="Times New Roman"/>
          <w:sz w:val="18"/>
          <w:szCs w:val="18"/>
          <w:color w:val="auto"/>
        </w:rPr>
      </w:pPr>
    </w:p>
    <w:p>
      <w:pPr>
        <w:ind w:left="1300" w:right="1240" w:hanging="563"/>
        <w:spacing w:after="0" w:line="282"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ProKidney’s interim and year-end operating results;</w:t>
      </w:r>
    </w:p>
    <w:p>
      <w:pPr>
        <w:spacing w:after="0" w:line="67"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30"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30" w:lineRule="exact"/>
        <w:rPr>
          <w:rFonts w:ascii="Times New Roman" w:cs="Times New Roman" w:eastAsia="Times New Roman" w:hAnsi="Times New Roman"/>
          <w:sz w:val="18"/>
          <w:szCs w:val="18"/>
          <w:color w:val="auto"/>
        </w:rPr>
      </w:pPr>
    </w:p>
    <w:p>
      <w:pPr>
        <w:ind w:left="1300" w:right="520" w:hanging="563"/>
        <w:spacing w:after="0" w:line="266"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ProKidney’s internal quality control procedures, any material issues with such procedures, and any steps taken to deal with such issues when required by applicable law; and</w:t>
      </w:r>
    </w:p>
    <w:p>
      <w:pPr>
        <w:spacing w:after="0" w:line="81" w:lineRule="exact"/>
        <w:rPr>
          <w:rFonts w:ascii="Times New Roman" w:cs="Times New Roman" w:eastAsia="Times New Roman" w:hAnsi="Times New Roman"/>
          <w:sz w:val="18"/>
          <w:szCs w:val="18"/>
          <w:color w:val="auto"/>
        </w:rPr>
      </w:pPr>
    </w:p>
    <w:p>
      <w:pPr>
        <w:ind w:left="1300" w:right="560" w:hanging="563"/>
        <w:spacing w:after="0" w:line="282"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Board has adopted a written charter for the Audit Committee, which is available on our website at </w:t>
      </w:r>
      <w:r>
        <w:rPr>
          <w:rFonts w:ascii="Times New Roman" w:cs="Times New Roman" w:eastAsia="Times New Roman" w:hAnsi="Times New Roman"/>
          <w:sz w:val="18"/>
          <w:szCs w:val="18"/>
          <w:u w:val="single" w:color="auto"/>
          <w:color w:val="auto"/>
        </w:rPr>
        <w:t>https://www.prokidney.com</w:t>
      </w:r>
      <w:r>
        <w:rPr>
          <w:rFonts w:ascii="Times New Roman" w:cs="Times New Roman" w:eastAsia="Times New Roman" w:hAnsi="Times New Roman"/>
          <w:sz w:val="18"/>
          <w:szCs w:val="18"/>
          <w:color w:val="auto"/>
        </w:rPr>
        <w:t xml:space="preserve"> under Investors —Corporate Governance—Governance Overview.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and Compensation Committee</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Talent and Compensation Committee met three times during fiscal 2024. Our Talent and Compensation Committee consists of Alan M. Lotvin, M.D., who serves as the chairperson, William F. Doyle, and Uma Sinha, Ph.D. John M. Maraganore, Ph.D., our former director, served on the Talent and Compensation Committee during fiscal year 2024 until his term of service ended in May 2024. All members of the Talent and Compensation Committee qualify as independent under the definition promulgated by Nasdaq.</w:t>
      </w:r>
    </w:p>
    <w:p>
      <w:pPr>
        <w:spacing w:after="0" w:line="7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primary purpose of the Talent and Compensation Committee is to discharge the responsibilities of the Board in overseeing the compensation policies, plans and programs and to review and determine the compensation to be paid to executive officers, directors and other senior management, as appropriate. Specific responsibilities of the Talent and Compensation Committee include:</w:t>
      </w:r>
    </w:p>
    <w:p>
      <w:pPr>
        <w:spacing w:after="0" w:line="81" w:lineRule="exact"/>
        <w:rPr>
          <w:sz w:val="20"/>
          <w:szCs w:val="20"/>
          <w:color w:val="auto"/>
        </w:rPr>
      </w:pPr>
    </w:p>
    <w:p>
      <w:pPr>
        <w:ind w:left="1320" w:hanging="583"/>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the chief executive officer, other executive officers and senior management;</w:t>
      </w:r>
    </w:p>
    <w:p>
      <w:pPr>
        <w:spacing w:after="0" w:line="130" w:lineRule="exact"/>
        <w:rPr>
          <w:rFonts w:ascii="Times New Roman" w:cs="Times New Roman" w:eastAsia="Times New Roman" w:hAnsi="Times New Roman"/>
          <w:sz w:val="18"/>
          <w:szCs w:val="18"/>
          <w:color w:val="auto"/>
        </w:rPr>
      </w:pPr>
    </w:p>
    <w:p>
      <w:pPr>
        <w:ind w:left="1320" w:hanging="583"/>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compensation of directors;</w:t>
      </w:r>
    </w:p>
    <w:p>
      <w:pPr>
        <w:spacing w:after="0" w:line="130" w:lineRule="exact"/>
        <w:rPr>
          <w:rFonts w:ascii="Times New Roman" w:cs="Times New Roman" w:eastAsia="Times New Roman" w:hAnsi="Times New Roman"/>
          <w:sz w:val="18"/>
          <w:szCs w:val="18"/>
          <w:color w:val="auto"/>
        </w:rPr>
      </w:pPr>
    </w:p>
    <w:p>
      <w:pPr>
        <w:ind w:left="1320" w:hanging="583"/>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ProKidney Incentive Equity Plan (the “Incentive Equity Plan”) and other benefit programs;</w:t>
      </w:r>
    </w:p>
    <w:p>
      <w:pPr>
        <w:spacing w:after="0" w:line="130" w:lineRule="exact"/>
        <w:rPr>
          <w:rFonts w:ascii="Times New Roman" w:cs="Times New Roman" w:eastAsia="Times New Roman" w:hAnsi="Times New Roman"/>
          <w:sz w:val="18"/>
          <w:szCs w:val="18"/>
          <w:color w:val="auto"/>
        </w:rPr>
      </w:pPr>
    </w:p>
    <w:p>
      <w:pPr>
        <w:ind w:left="1320" w:right="320" w:hanging="583"/>
        <w:spacing w:after="0" w:line="266" w:lineRule="auto"/>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the executive officers and other senior management; and</w:t>
      </w:r>
    </w:p>
    <w:p>
      <w:pPr>
        <w:spacing w:after="0" w:line="81" w:lineRule="exact"/>
        <w:rPr>
          <w:rFonts w:ascii="Times New Roman" w:cs="Times New Roman" w:eastAsia="Times New Roman" w:hAnsi="Times New Roman"/>
          <w:sz w:val="18"/>
          <w:szCs w:val="18"/>
          <w:color w:val="auto"/>
        </w:rPr>
      </w:pPr>
    </w:p>
    <w:p>
      <w:pPr>
        <w:ind w:left="1300" w:right="160" w:hanging="563"/>
        <w:spacing w:after="0" w:line="282"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the employees, including the overall compensation philosophy.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9" w:name="page110"/>
    <w:bookmarkEnd w:id="109"/>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Talent and Compensation Committee has adopted the following processes and procedures for the consideration and determination of executive and director compensation: In establishing compensation for executives, the Talent and Compensation Committee seeks to provide compensation that is competitive in light of current market conditions and industry practices. Accordingly, the Talent and Compensation Committee will generally review market data which is comprised of proxy-disclosed data from peer companies and data from nationally recognized published compensation surveys for the life science industry, adjusted for relevant criteria including headcount, company stage of development and market capitalization. The market data assists the committee in gaining perspective on the compensation levels and practices at the peer companies and to assess the relative competitiveness of the compensation paid to our executives and Board. The market data thus guides the Talent and Compensation Committee in its efforts to set executive compensation levels and program targets at competitive levels for comparable roles in the marketplace. The Talent and Compensation Committee then considers other factors, such as the criticality of each executive officer’s role in the company, depth and breadth of experience, internal equity, performance, retention concerns and relevant compensation trends in the marketplace, in making its final compensation determinations.</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Talent and Compensation Committee has the authority to directly retain the services of independent consultants and other experts to assist in fulfilling its responsibilities. The Talent and Compensation Committee has engaged the services of Frederic W. Cook &amp; Co., Inc. (“FW Cook”) to review and provide recommendations concerning the components of the Company’s executive and director compensation program. FW Cook performs services solely on behalf of the Talent and Compensation Committee. FW Cook assists the Talent and Compensation Committee in defining the appropriate market of our peer companies for executive compensation and practices and in benchmarking our executive compensation program against the peer group. FW Cook also assists the Talent and Compensation Committee in benchmarking our director compensation program and practices against those of our peers. The Talent and Compensation Committee has assessed the independence of FW Cook pursuant to SEC rules and the corporate governance rules of The Nasdaq Stock Market and concluded that no conflict of interest exists that would prevent FW Cook from independently representing the Talent and Compensation Committee.</w:t>
      </w:r>
    </w:p>
    <w:p>
      <w:pPr>
        <w:spacing w:after="0" w:line="188" w:lineRule="exact"/>
        <w:rPr>
          <w:sz w:val="20"/>
          <w:szCs w:val="20"/>
          <w:color w:val="auto"/>
        </w:rPr>
      </w:pPr>
    </w:p>
    <w:p>
      <w:pPr>
        <w:ind w:right="40" w:firstLine="554"/>
        <w:spacing w:after="0" w:line="266" w:lineRule="auto"/>
        <w:rPr>
          <w:sz w:val="20"/>
          <w:szCs w:val="20"/>
          <w:color w:val="auto"/>
        </w:rPr>
      </w:pPr>
      <w:r>
        <w:rPr>
          <w:rFonts w:ascii="Times New Roman" w:cs="Times New Roman" w:eastAsia="Times New Roman" w:hAnsi="Times New Roman"/>
          <w:sz w:val="18"/>
          <w:szCs w:val="18"/>
          <w:color w:val="auto"/>
        </w:rPr>
        <w:t>The Talent and Compensation Committee reviews the performance of each named executive officer in light of the above factors and determines whether the named executive officer should receive any increase in base salary, annual bonus award or receive a discretionary equity award based on such evaluation.</w:t>
      </w:r>
    </w:p>
    <w:p>
      <w:pPr>
        <w:spacing w:after="0" w:line="68" w:lineRule="exact"/>
        <w:rPr>
          <w:sz w:val="20"/>
          <w:szCs w:val="20"/>
          <w:color w:val="auto"/>
        </w:rPr>
      </w:pPr>
    </w:p>
    <w:p>
      <w:pPr>
        <w:ind w:right="18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Board has adopted a written charter for the Talent and Compensation Committee, which is available on our website at </w:t>
      </w:r>
      <w:r>
        <w:rPr>
          <w:rFonts w:ascii="Times New Roman" w:cs="Times New Roman" w:eastAsia="Times New Roman" w:hAnsi="Times New Roman"/>
          <w:sz w:val="18"/>
          <w:szCs w:val="18"/>
          <w:u w:val="single" w:color="auto"/>
          <w:color w:val="auto"/>
        </w:rPr>
        <w:t>https://www.prokidney.com</w:t>
      </w:r>
      <w:r>
        <w:rPr>
          <w:rFonts w:ascii="Times New Roman" w:cs="Times New Roman" w:eastAsia="Times New Roman" w:hAnsi="Times New Roman"/>
          <w:sz w:val="18"/>
          <w:szCs w:val="18"/>
          <w:color w:val="auto"/>
        </w:rPr>
        <w:t xml:space="preserve"> under Investors—Corporate Governance—Governance Overview.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(“Nominating Committee”) met one time during fiscal 2024 and has four members consisting of William F. Doyle, who serves as the chairperson, Brian J.G. Pereira, M.D., Uma Sinha, Ph.D., and José Ignacio Jiménez Santos. From January to May 2024, the Nominating Committee consisted of John M. Maraganore, Ph.D., our former director, who served on the committee and as the chairperson until his term of service ended in May 2024, Brian J.G. Pereira, M.D., Uma Sinha, Ph.D., and José Ignacio Jiménez Santos. The Board has determined that all members of the Nominating Committee qualify as independent under the definition promulgated by The Nasdaq Stock Market.</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purpose of the nominating and corporate governance committee is to assist the Board in discharging the responsibilities set forth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Nominating Committee’s written charter and include:</w:t>
      </w:r>
    </w:p>
    <w:p>
      <w:pPr>
        <w:spacing w:after="0" w:line="112" w:lineRule="exact"/>
        <w:rPr>
          <w:sz w:val="20"/>
          <w:szCs w:val="20"/>
          <w:color w:val="auto"/>
        </w:rPr>
      </w:pPr>
    </w:p>
    <w:p>
      <w:pPr>
        <w:ind w:left="1300" w:right="420" w:hanging="563"/>
        <w:spacing w:after="0" w:line="282"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shareholders, to serve on the Board;</w:t>
      </w:r>
    </w:p>
    <w:p>
      <w:pPr>
        <w:spacing w:after="0" w:line="67" w:lineRule="exact"/>
        <w:rPr>
          <w:rFonts w:ascii="Times New Roman" w:cs="Times New Roman" w:eastAsia="Times New Roman" w:hAnsi="Times New Roman"/>
          <w:sz w:val="18"/>
          <w:szCs w:val="18"/>
          <w:color w:val="auto"/>
        </w:rPr>
      </w:pPr>
    </w:p>
    <w:p>
      <w:pPr>
        <w:ind w:left="1300" w:right="820" w:hanging="563"/>
        <w:spacing w:after="0" w:line="282"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regarding the composition and chairmanship of the committees of the Board;</w:t>
      </w:r>
    </w:p>
    <w:p>
      <w:pPr>
        <w:spacing w:after="0" w:line="67" w:lineRule="exact"/>
        <w:rPr>
          <w:rFonts w:ascii="Times New Roman" w:cs="Times New Roman" w:eastAsia="Times New Roman" w:hAnsi="Times New Roman"/>
          <w:sz w:val="18"/>
          <w:szCs w:val="18"/>
          <w:color w:val="auto"/>
        </w:rPr>
      </w:pPr>
    </w:p>
    <w:p>
      <w:pPr>
        <w:ind w:left="1300" w:right="960" w:hanging="563"/>
        <w:spacing w:after="0" w:line="282"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regarding corporate governance guidelines and matters, including in relation to corporate social responsibility; and</w:t>
      </w:r>
    </w:p>
    <w:p>
      <w:pPr>
        <w:spacing w:after="0" w:line="67"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performance of the Board, including its individual directors and committees.</w:t>
      </w:r>
    </w:p>
    <w:p>
      <w:pPr>
        <w:spacing w:after="0" w:line="117" w:lineRule="exact"/>
        <w:rPr>
          <w:sz w:val="20"/>
          <w:szCs w:val="20"/>
          <w:color w:val="auto"/>
        </w:rPr>
      </w:pPr>
    </w:p>
    <w:p>
      <w:pPr>
        <w:ind w:right="1000" w:firstLine="509"/>
        <w:spacing w:after="0" w:line="282" w:lineRule="auto"/>
        <w:rPr>
          <w:sz w:val="20"/>
          <w:szCs w:val="20"/>
          <w:color w:val="auto"/>
        </w:rPr>
      </w:pPr>
      <w:r>
        <w:rPr>
          <w:rFonts w:ascii="Times New Roman" w:cs="Times New Roman" w:eastAsia="Times New Roman" w:hAnsi="Times New Roman"/>
          <w:sz w:val="18"/>
          <w:szCs w:val="18"/>
          <w:color w:val="auto"/>
        </w:rPr>
        <w:t>The Board has adopted a written charter for the nominating and corporate governance committee, which is available on our website at https://www.prokidney.com under Investors—Corporate Governance—Governance Overview.</w:t>
      </w:r>
    </w:p>
    <w:p>
      <w:pPr>
        <w:spacing w:after="0" w:line="5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Generally, our Nominating Committee considers candidates recommended by shareholders as well as from other sources such as other directors or officers, third party search firms or other appropriate sources. Once identified, the Nominating Committee will evaluate a candidate’s qualifications in accordance with our Nominating and Governance Committee Policy Regarding Qualifications of Directors appended to our Nominating Committee’s written charter. Threshold criteria include: personal integrity and sound judgment, business and professional skills and experience, independence, knowledge of our industry, possible conflicts of interest,</w:t>
      </w:r>
    </w:p>
    <w:p>
      <w:pPr>
        <w:spacing w:after="0" w:line="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110" w:name="page111"/>
    <w:bookmarkEnd w:id="110"/>
    <w:p>
      <w:pPr>
        <w:ind w:right="20"/>
        <w:spacing w:after="0" w:line="258" w:lineRule="auto"/>
        <w:rPr>
          <w:sz w:val="20"/>
          <w:szCs w:val="20"/>
          <w:color w:val="auto"/>
        </w:rPr>
      </w:pPr>
      <w:r>
        <w:rPr>
          <w:rFonts w:ascii="Times New Roman" w:cs="Times New Roman" w:eastAsia="Times New Roman" w:hAnsi="Times New Roman"/>
          <w:sz w:val="18"/>
          <w:szCs w:val="18"/>
          <w:color w:val="auto"/>
        </w:rPr>
        <w:t>diversity, the extent to which the candidate would fill a present need on the Board, and concern for the long-term interests of our shareholders. Our Nominating Committee has not adopted a formal diversity policy in connection with the consideration of director nominations or the selection of nominees. However, the Nominating Committee will consider issues of diversity among its members in identifying and considering nominees for director, and strive where appropriate to achieve a diverse balance of backgrounds, perspectives, experience, age, gender, ethnicity and country of citizenship on the Board and its committees.</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general, persons recommended by shareholders will be considered in accordance with our Policy on Shareholder Recommendation of Candidates for Election as Directors appended to our Nominating Committee’s written charter. Any such recommendation should be made in writing to the Nominating and Governance Committee, care of our Corporate Secretary at our principal office and should be accompanied by the following information concerning each recommending shareholder and the beneficial owner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any, on whose behalf the nomination is made:</w:t>
      </w:r>
    </w:p>
    <w:p>
      <w:pPr>
        <w:spacing w:after="0" w:line="72"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person that would be required to be disclosed in a proxy statement;</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biographical and share ownership information about the shareholder and any other proponent, including a description of any derivative transactions in the Company’s securities;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certain arrangements and understandings between the proposing shareholder and any beneficial owner and any other person in connection with such shareholder nomination; and</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whether or not either such shareholder or beneficial owner intends to deliver a proxy statement and form of proxy to holders of voting shares sufficient to carry the proposal.</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recommendation must also be accompanied by the following information concerning the proposed nominee:</w:t>
      </w:r>
    </w:p>
    <w:p>
      <w:pPr>
        <w:spacing w:after="0" w:line="117"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biographical information concerning the proposed nominee;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concerning the proposed nominee required to be disclosed in solicitations of proxies for election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about any other security holder of the Company who supports the proposed nominee;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relationships between the proposed nominee and the recommending shareholder or any beneficial owner, including any agreements or understandings regarding the nomination;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disclosures relating to shareholder nominees for directors, including completed questionnaires and disclosures required by the Charter.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One of the key functions of the Board is to oversee ProKidney’s risk management process. The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Talent and Compensation Committee also assesses and monitors whether our compensation plans, policies and programs comply with applicable legal and regulatory requirements.</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Board does not have a policy regarding the separation of the roles of Chief Executive Officer and Chairman of the Board, as the Board believes it is in the best interest of the Company to make that determination based on the position and direction of the Company and the membership of the Board. Currently, two separate individuals serve in the positions of Chief Executive Officer and Chairman of the Board. We believe that our current leadership structure is optimal for the Company at this time.</w:t>
      </w:r>
    </w:p>
    <w:p>
      <w:pPr>
        <w:spacing w:after="0" w:line="72"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Our Board has seven independent members and two non-independent directors, our Chief Executive Officer and the Chairman of the board. We believe that the number of independent, experienced directors that make up the Board, along with the oversight of the Board by the Non-Executive Chairman, benefits our company and our shareholders. All of our independent directors have demonstrated leadership in other organizations and are familiar with board of director processes.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records reflect that all reports which were required to be filed with the SEC pursuant to Section 16(a) of the Securities Exchange Act of 1934, as amended, were filed on a timely basis, except that two statements of changes in beneficial ownership of</w:t>
      </w: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1" w:name="page112"/>
    <w:bookmarkEnd w:id="111"/>
    <w:p>
      <w:pPr>
        <w:ind w:right="540"/>
        <w:spacing w:after="0" w:line="282" w:lineRule="auto"/>
        <w:rPr>
          <w:sz w:val="20"/>
          <w:szCs w:val="20"/>
          <w:color w:val="auto"/>
        </w:rPr>
      </w:pPr>
      <w:r>
        <w:rPr>
          <w:rFonts w:ascii="Times New Roman" w:cs="Times New Roman" w:eastAsia="Times New Roman" w:hAnsi="Times New Roman"/>
          <w:sz w:val="18"/>
          <w:szCs w:val="18"/>
          <w:color w:val="auto"/>
        </w:rPr>
        <w:t>securities were filed late by each of Darin Weber and Control Empresarial de Capitales S.A. de C.V. Additionally one initial statement of beneficial ownership of securities was filed late by Aaron Cowen.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principal executive officer, principal financial officer and principal accounting officer, which is available on our website at https://investors.prokidney.com/corporate-governance/governance-overview. Our code of business conduct is a “code of ethics,” as defined in Item 406(b) of Regulation S-K.</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Listing Rules.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and Prohibitions on Hedging and Pledging Company Securities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maintain an insider trading policy that, among other things, governs the buying and selling of our securities by all of our personnel, including directors, officers and employees. Our policy is designed to prevent violations of insider trading laws by our personnel and to avoid even the appearance of improper conduct in this regard by our personnel. The policy prohibits covered persons from purchasing, selling or otherwise disposing of our securities while in possession of material non-public information (except in limited circumstances, such as pursuant to a previously established trading plan). In addition, the policy prohibits all employees and directors from engaging in any transaction in which they may profit from short-term speculative swings in the value of our securities such as through short sales, derivative securities and hedging transactions including forward sale or purchase contracts, equity swaps, collars or exchange funds. The policy also prohibits our insiders from holding our securities in a margin account or pledging our securities as collateral for a loan. The policy provides for quarterly and other trading blackouts and includes the procedures covered persons must follow before transacting in our securities including trading pre-clearance.</w:t>
      </w:r>
    </w:p>
    <w:p>
      <w:pPr>
        <w:spacing w:after="0" w:line="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Although we have not adopted an insider trading policy governing the purchase or sale of our securities by the Company, as part of the oversight of risk, the Board, or one or more of its Committees, approves any transaction, plan or arrangement by or with the Company with respect to our securities on a case-by-case basis, and as part of their procedures to review and approve any such transaction, plan or arrangement, the Board or Committee consults with legal counsel to ensure compliance with applicable insider trading laws, rules and regulations, and listing standards. A copy of the policy is filed as an exhibit to this Annual Report on Form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9" w:lineRule="exact"/>
        <w:rPr>
          <w:sz w:val="20"/>
          <w:szCs w:val="20"/>
          <w:color w:val="auto"/>
        </w:rPr>
      </w:pPr>
    </w:p>
    <w:p>
      <w:pPr>
        <w:ind w:right="2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discusses the material components of the executive compensation program for our named executive officers (the “NEOs”) who are identified in the Summary Compensation Table below. This discussion may contain forward-looking statements that are based on our current plans, considerations, expectations and determinations regarding future compensation programs.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2024, ProKidney’s NEOs were:</w:t>
      </w:r>
    </w:p>
    <w:p>
      <w:pPr>
        <w:spacing w:after="0" w:line="117"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Bruce Culleton, M.D., Chief Executive Officer;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Todd C. Girolamo J.D., MBA, Chief Legal Officer;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Ulrich Ernst, PhD, Executive Vice President, Technical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2" w:name="page113"/>
    <w:bookmarkEnd w:id="112"/>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compensation for the years ended December 31, 2024 and 2023 earned by, awarded to or paid to our NEOs.</w:t>
      </w:r>
    </w:p>
    <w:p>
      <w:pPr>
        <w:spacing w:after="0" w:line="37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Incentiv</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 Plan</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Compens</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Yea</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2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2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sation</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ation</w:t>
            </w:r>
          </w:p>
        </w:tc>
        <w:tc>
          <w:tcPr>
            <w:tcW w:w="26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Principal Position(s)</w:t>
            </w:r>
          </w:p>
        </w:tc>
        <w:tc>
          <w:tcPr>
            <w:tcW w:w="160" w:type="dxa"/>
            <w:vAlign w:val="bottom"/>
          </w:tcPr>
          <w:p>
            <w:pPr>
              <w:spacing w:after="0"/>
              <w:rPr>
                <w:sz w:val="20"/>
                <w:szCs w:val="20"/>
                <w:color w:val="auto"/>
              </w:rPr>
            </w:pP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w:t>
            </w:r>
          </w:p>
        </w:tc>
        <w:tc>
          <w:tcPr>
            <w:tcW w:w="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8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 (2)</w:t>
            </w:r>
          </w:p>
        </w:tc>
        <w:tc>
          <w:tcPr>
            <w:tcW w:w="9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0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Bruce Culleton, M.D. (3)</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15,802</w:t>
            </w: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0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vMerge w:val="continue"/>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244,96</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8,345,4</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120,82</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8,712,14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C. Girolamo</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625,04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195,07</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8"/>
                <w:szCs w:val="18"/>
                <w:color w:val="auto"/>
              </w:rPr>
            </w:pP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6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15,783</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i w:val="1"/>
                <w:iCs w:val="1"/>
                <w:color w:val="auto"/>
              </w:rPr>
              <w:t>Chief Legal Officer</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vMerge w:val="continue"/>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6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Ulrich Ernst (7)</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328,84</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665,28</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144,20</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50,381</w:t>
            </w: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0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Executive Vice President, Technical Operations</w:t>
            </w:r>
          </w:p>
        </w:tc>
        <w:tc>
          <w:tcPr>
            <w:tcW w:w="54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3700" w:type="dxa"/>
            <w:vAlign w:val="bottom"/>
            <w:vMerge w:val="continue"/>
            <w:shd w:val="clear" w:color="auto" w:fill="CFF0FC"/>
          </w:tcPr>
          <w:p>
            <w:pPr>
              <w:spacing w:after="0"/>
              <w:rPr>
                <w:sz w:val="10"/>
                <w:szCs w:val="10"/>
                <w:color w:val="auto"/>
              </w:rPr>
            </w:pPr>
          </w:p>
        </w:tc>
        <w:tc>
          <w:tcPr>
            <w:tcW w:w="5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3700" w:type="dxa"/>
            <w:vAlign w:val="bottom"/>
            <w:shd w:val="clear" w:color="auto" w:fill="CFF0FC"/>
          </w:tcPr>
          <w:p>
            <w:pPr>
              <w:spacing w:after="0"/>
              <w:rPr>
                <w:sz w:val="9"/>
                <w:szCs w:val="9"/>
                <w:color w:val="auto"/>
              </w:rPr>
            </w:pPr>
          </w:p>
        </w:tc>
        <w:tc>
          <w:tcPr>
            <w:tcW w:w="54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8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6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8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60" w:type="dxa"/>
            <w:vAlign w:val="bottom"/>
            <w:vMerge w:val="continue"/>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8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20" w:right="60" w:hanging="503"/>
        <w:spacing w:after="0" w:line="258"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date fair value of stock options granted during 2024, as computed in accordance with ASC Topic 718, not including any estimates of forfeiture. See Notes 2 and 10 of “Notes to Consolidated Financial Statements” in this Annual Report on Form 10-K for the year ended December 31, 2024 for a discussion of assumptions used in determining the grant date fair value of our option awards for fiscal year ended December 31, 2024. Note that amounts reported in this column reflect the accounting cost for these stock options and do not correspond to actual economic value that may be received by the executives from the stock options.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bonuses earned by the named executive officers pursuant to our Non-Equity Incentive Compensation Plan for performance.</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Culleton commenced employment as our Executive Vice President, Clinical Development and Commercialization on July 17, 2023. Dr. Culleton was appointed as Chief Executive Officer effective November 15, 2023.</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all other compensation paid to Dr. Culleton including: (1) matching contributions to the 401(k) plan of $14,067 and (2) insurance premiums with respect to a group life insurance policy, a group short-term disability policy, a group long-term disability policy, an accidental death and dismemberment policy, and flexible spending accounts.</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all other compensation paid to Dr. Culleton including insurance premiums with respect to a group life insurance policy, a group short-term disability policy, a group long-term disability policy, an accidental death and dismemberment policy, and flexible spending accounts.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all other compensation paid to Mr. Girolamo including: (1) the matching contributions to the 401(k) plan of $14,048 and $13,488 for the years ended December 31, 2024 and 2023, respectively and (2) insurance premiums with respect to a group life insurance policy, a group short-term disability policy, a group long-term disability policy, an accidental death and dismemberment policy, and flexible spending accounts.</w:t>
      </w:r>
    </w:p>
    <w:p>
      <w:pPr>
        <w:spacing w:after="0" w:line="71"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Ernst commenced employment as our Executive Vice President, Technical Operations on March 25, 2024. Dr. Ernst was terminated effective March 3, 2025.</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all other compensation paid to Dr. Ernst including (1) $49,058 of relocation assistance and (2) insurance premiums with respect to a group life insurance policy, a group short-term disability policy, a group long-term disability policy, an accidental death and dismemberment policy, and flexible spending accounts.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executive compensation program is designed to:</w:t>
      </w:r>
    </w:p>
    <w:p>
      <w:pPr>
        <w:spacing w:after="0" w:line="131" w:lineRule="exact"/>
        <w:rPr>
          <w:sz w:val="20"/>
          <w:szCs w:val="20"/>
          <w:color w:val="auto"/>
        </w:rPr>
      </w:pPr>
    </w:p>
    <w:p>
      <w:pPr>
        <w:ind w:left="1300" w:right="660" w:hanging="563"/>
        <w:spacing w:after="0" w:line="266"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senior management leaders who are capable of advancing our mission and strategy and, ultimately, creating and maintaining long-term equity value. Such leaders must engage in a collaborative approach and possess the ability to execute our business strategy in an industry characterized by competitiveness and growth;</w:t>
      </w:r>
    </w:p>
    <w:p>
      <w:pPr>
        <w:spacing w:after="0" w:line="81"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senior management in a manner aligned with our financial performance; and</w:t>
      </w:r>
    </w:p>
    <w:p>
      <w:pPr>
        <w:spacing w:after="0" w:line="130"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senior management’s interests with our equity owners’ long-term interests through equity participation and ownership.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093" w:right="339" w:bottom="0"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350520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ind w:firstLine="509"/>
        <w:spacing w:after="0" w:line="256" w:lineRule="auto"/>
        <w:rPr>
          <w:sz w:val="20"/>
          <w:szCs w:val="20"/>
          <w:color w:val="auto"/>
        </w:rPr>
      </w:pPr>
      <w:r>
        <w:rPr>
          <w:rFonts w:ascii="Times New Roman" w:cs="Times New Roman" w:eastAsia="Times New Roman" w:hAnsi="Times New Roman"/>
          <w:sz w:val="18"/>
          <w:szCs w:val="18"/>
          <w:color w:val="auto"/>
        </w:rPr>
        <w:t>Decisions with respect to the compensation of our executive officers, including our named executive officers, are made by the Talent and Compensation Committee of the Board. Compensation for our executive officers has the following components: base salary, cash bonus opportunities, long-term incentive compensation, broad-based employee benefits, and severance benefits. Base salaries, broad-based employee benefits, supplemental executive perquisites and severance benefits are designed to attract and retain senior management talent. We also use cash bonuses and long-term equity awards to promote performance-based pay that aligns the interests of our NEOs with the long-term interests of our equity owners and to enhance executive retention.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base salaries for our NEOs are subject to adjustments made by the Talent and Compensation Committee, including in connection with our annual review of our NEOs’ base salaries. We did not increase base salaries for our NEOs during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Non-Equity Incentive Compensation</w:t>
      </w:r>
    </w:p>
    <w:p>
      <w:pPr>
        <w:spacing w:after="0" w:line="11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use annual cash incentive bonuses for the NEOs to motivate their achievement of short-term performance goals and tie a portion of their cash compensation to performance. Near the beginning of each year, the Talent and Compensation Committee will approve the performance targets, target amounts, target award opportunities and other terms and conditions of annual cash bonuses for the NEOs, subject to the terms of their employment agreements. Following the end of each year, the Talent and Compensation Committee will determine the extent to which the performance targets were achieved and the amount of the award that is payable to the named executive officers.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December 2024, the Talent and Compensation Committee approved a corporate goal achievement of 100%.</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2024 Actual</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2023 Actual</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40" w:type="dxa"/>
            <w:vAlign w:val="bottom"/>
          </w:tcPr>
          <w:p>
            <w:pPr>
              <w:spacing w:after="0"/>
              <w:rPr>
                <w:sz w:val="18"/>
                <w:szCs w:val="18"/>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2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 of Base</w:t>
            </w:r>
          </w:p>
        </w:tc>
        <w:tc>
          <w:tcPr>
            <w:tcW w:w="14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1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 of Base</w:t>
            </w:r>
          </w:p>
        </w:tc>
        <w:tc>
          <w:tcPr>
            <w:tcW w:w="0" w:type="dxa"/>
            <w:vAlign w:val="bottom"/>
          </w:tcPr>
          <w:p>
            <w:pPr>
              <w:spacing w:after="0"/>
              <w:rPr>
                <w:sz w:val="1"/>
                <w:szCs w:val="1"/>
                <w:color w:val="auto"/>
              </w:rPr>
            </w:pPr>
          </w:p>
        </w:tc>
      </w:tr>
      <w:tr>
        <w:trPr>
          <w:trHeight w:val="238"/>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Pr>
          <w:p>
            <w:pPr>
              <w:spacing w:after="0"/>
              <w:rPr>
                <w:sz w:val="20"/>
                <w:szCs w:val="20"/>
                <w:color w:val="auto"/>
              </w:rPr>
            </w:pPr>
          </w:p>
        </w:tc>
        <w:tc>
          <w:tcPr>
            <w:tcW w:w="304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2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8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Bruce Culleton, M.D.</w:t>
            </w:r>
          </w:p>
        </w:tc>
        <w:tc>
          <w:tcPr>
            <w:tcW w:w="160" w:type="dxa"/>
            <w:vAlign w:val="bottom"/>
            <w:shd w:val="clear" w:color="auto" w:fill="CFF0FC"/>
          </w:tcPr>
          <w:p>
            <w:pPr>
              <w:spacing w:after="0"/>
              <w:rPr>
                <w:sz w:val="18"/>
                <w:szCs w:val="18"/>
                <w:color w:val="auto"/>
              </w:rPr>
            </w:pPr>
          </w:p>
        </w:tc>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120,824</w:t>
            </w: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49.3 %</w:t>
            </w: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C. Girolamo</w:t>
            </w:r>
          </w:p>
        </w:tc>
        <w:tc>
          <w:tcPr>
            <w:tcW w:w="160" w:type="dxa"/>
            <w:vAlign w:val="bottom"/>
          </w:tcPr>
          <w:p>
            <w:pPr>
              <w:spacing w:after="0"/>
              <w:rPr>
                <w:sz w:val="18"/>
                <w:szCs w:val="18"/>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195,075</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101,660</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198"/>
        </w:trPr>
        <w:tc>
          <w:tcPr>
            <w:tcW w:w="26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Ulrich Ernst</w:t>
            </w:r>
          </w:p>
        </w:tc>
        <w:tc>
          <w:tcPr>
            <w:tcW w:w="160" w:type="dxa"/>
            <w:vAlign w:val="bottom"/>
            <w:shd w:val="clear" w:color="auto" w:fill="CFF0FC"/>
          </w:tcPr>
          <w:p>
            <w:pPr>
              <w:spacing w:after="0"/>
              <w:rPr>
                <w:sz w:val="17"/>
                <w:szCs w:val="17"/>
                <w:color w:val="auto"/>
              </w:rPr>
            </w:pPr>
          </w:p>
        </w:tc>
        <w:tc>
          <w:tcPr>
            <w:tcW w:w="30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Executive Vice President, Technical</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66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2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144,205</w:t>
            </w:r>
          </w:p>
        </w:tc>
        <w:tc>
          <w:tcPr>
            <w:tcW w:w="146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43.9 %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108"/>
        </w:trPr>
        <w:tc>
          <w:tcPr>
            <w:tcW w:w="26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040" w:type="dxa"/>
            <w:vAlign w:val="bottom"/>
            <w:vMerge w:val="continue"/>
            <w:shd w:val="clear" w:color="auto" w:fill="CFF0FC"/>
          </w:tcPr>
          <w:p>
            <w:pPr>
              <w:spacing w:after="0"/>
              <w:rPr>
                <w:sz w:val="9"/>
                <w:szCs w:val="9"/>
                <w:color w:val="auto"/>
              </w:rPr>
            </w:pPr>
          </w:p>
        </w:tc>
        <w:tc>
          <w:tcPr>
            <w:tcW w:w="240" w:type="dxa"/>
            <w:vAlign w:val="bottom"/>
            <w:gridSpan w:val="2"/>
            <w:vMerge w:val="continue"/>
            <w:shd w:val="clear" w:color="auto" w:fill="CFF0FC"/>
          </w:tcPr>
          <w:p>
            <w:pPr>
              <w:spacing w:after="0"/>
              <w:rPr>
                <w:sz w:val="9"/>
                <w:szCs w:val="9"/>
                <w:color w:val="auto"/>
              </w:rPr>
            </w:pPr>
          </w:p>
        </w:tc>
        <w:tc>
          <w:tcPr>
            <w:tcW w:w="740" w:type="dxa"/>
            <w:vAlign w:val="bottom"/>
            <w:vMerge w:val="continue"/>
            <w:shd w:val="clear" w:color="auto" w:fill="CFF0FC"/>
          </w:tcPr>
          <w:p>
            <w:pPr>
              <w:spacing w:after="0"/>
              <w:rPr>
                <w:sz w:val="9"/>
                <w:szCs w:val="9"/>
                <w:color w:val="auto"/>
              </w:rPr>
            </w:pPr>
          </w:p>
        </w:tc>
        <w:tc>
          <w:tcPr>
            <w:tcW w:w="1460" w:type="dxa"/>
            <w:vAlign w:val="bottom"/>
            <w:gridSpan w:val="3"/>
            <w:vMerge w:val="continue"/>
            <w:shd w:val="clear" w:color="auto" w:fill="CFF0FC"/>
          </w:tcPr>
          <w:p>
            <w:pPr>
              <w:spacing w:after="0"/>
              <w:rPr>
                <w:sz w:val="9"/>
                <w:szCs w:val="9"/>
                <w:color w:val="auto"/>
              </w:rPr>
            </w:pPr>
          </w:p>
        </w:tc>
        <w:tc>
          <w:tcPr>
            <w:tcW w:w="140" w:type="dxa"/>
            <w:vAlign w:val="bottom"/>
            <w:vMerge w:val="continue"/>
            <w:shd w:val="clear" w:color="auto" w:fill="CFF0FC"/>
          </w:tcPr>
          <w:p>
            <w:pPr>
              <w:spacing w:after="0"/>
              <w:rPr>
                <w:sz w:val="9"/>
                <w:szCs w:val="9"/>
                <w:color w:val="auto"/>
              </w:rPr>
            </w:pPr>
          </w:p>
        </w:tc>
        <w:tc>
          <w:tcPr>
            <w:tcW w:w="760" w:type="dxa"/>
            <w:vAlign w:val="bottom"/>
            <w:vMerge w:val="continue"/>
            <w:shd w:val="clear" w:color="auto" w:fill="CFF0FC"/>
          </w:tcPr>
          <w:p>
            <w:pPr>
              <w:spacing w:after="0"/>
              <w:rPr>
                <w:sz w:val="9"/>
                <w:szCs w:val="9"/>
                <w:color w:val="auto"/>
              </w:rPr>
            </w:pPr>
          </w:p>
        </w:tc>
        <w:tc>
          <w:tcPr>
            <w:tcW w:w="1360" w:type="dxa"/>
            <w:vAlign w:val="bottom"/>
            <w:gridSpan w:val="3"/>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Awards</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use share-based awards to promote our interests by providing the executives with the opportunity to acquire equity interests as an incentive for their remaining in our service and aligning the executives’ interests with those of ProKidney. Share-based awards will be awarded under the Incentive Equity Plan.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Policies and Practices Related to the Grant of Certain Equity Awards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equity awards, including stock options, are granted in connection with the Company’s yearly compensation cycle and regularly scheduled meetings of the Talent and Compensation Committee. Typically, our practice is to price yearly compensation cycle option award grants on or about March 1 of each year. The Talent and Compensation Committee does not grant equity awards in anticipation of the release of material non-public information. Similarly, we do not time the release of material non-public information based on equity award grant dates.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Compensation</w:t>
      </w:r>
    </w:p>
    <w:p>
      <w:pPr>
        <w:spacing w:after="0" w:line="11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maintain various broad-based employee benefit plans, including medical, dental, vision, life and disability insurance and 401(k) plans, paid vacation, sick leave and holidays and employee assistance program benefits in which the NEOs participate.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right="660" w:firstLine="509"/>
        <w:spacing w:after="0" w:line="261" w:lineRule="auto"/>
        <w:rPr>
          <w:sz w:val="20"/>
          <w:szCs w:val="20"/>
          <w:color w:val="auto"/>
        </w:rPr>
      </w:pPr>
      <w:r>
        <w:rPr>
          <w:rFonts w:ascii="Times New Roman" w:cs="Times New Roman" w:eastAsia="Times New Roman" w:hAnsi="Times New Roman"/>
          <w:sz w:val="18"/>
          <w:szCs w:val="18"/>
          <w:color w:val="auto"/>
        </w:rPr>
        <w:t>Below are descriptions of the employment agreements with each of our NEOs (the “Employment Agreements”) setting forth the terms and conditions of such executive’s employment with us.</w:t>
      </w:r>
    </w:p>
    <w:p>
      <w:pPr>
        <w:jc w:val="center"/>
        <w:ind w:right="-7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i w:val="1"/>
          <w:iCs w:val="1"/>
          <w:color w:val="auto"/>
        </w:rPr>
        <w:t>Bruce Culleton, M.D.</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December 3, 2023, we entered into an employment agreement with Dr. Culleton, pursuant to which he serves as Chief Executive Officer of the Company and its subsidiaries and affiliates effective November 15, 2023. The agreement provides for a base salary of not less than $625,000 per year and a target cash bonus opportunity of 60% of base salary, which was prorated for the 2023 fiscal year. Additionally, Dr. Culleton is eligible to receive long-term incentive awards under the Incentive Equity Plan and is eligible for participation in the Company’s employee health and welfare benefit and retirement programs and certain severance benefits described below. Prior to his appointment as Chief Executive Officer, Dr. Culleton served as the Company’s Executive Vice President, Clinical Development and Commercialization from July 17, 2023 to November 15, 2023. In that role, Dr. Culleton’s annual base salary was $495,000.</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Todd Girolamo, J.D., MBA</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December 1, 2022, we entered into an employment agreement with Mr. Girolamo, pursuant to which he serves as Chief Legal Officer of the Company and its subsidiaries and affiliates effective October 1, 2022. The agreement provides for a base salary of not less than $425,000 per year, a target cash bonus opportunity of 40% of base salary, eligibility to receive long-term incentive awards under the Incentive Equity Plan, eligibility for participation in the Company’s employee health and welfare benefit and retirement programs and certain severance benefits described below.</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entered into a relocation assistance agreement with Mr. Girolamo in connection with his employment as Chief Legal Officer of the Company and its subsidiaries and affiliates. The agreement provides for certain remuneration related to Mr. Girolamo’s relocation to the Winston-Salem, North Carolina area within two years from the date of his hire. This agreement provides for a payment of $35,000 for accommodations and ground transportation, as needed while commuting to North Carolina, and a miscellaneous allowance equivalent to one-month base salary. The agreement also provides for the reimbursement of reasonable and customary moving expenses (the “Relocation Costs”) up to an amount not to exceed $50,000, which will be grossed-up to cover the associated tax liability. The Relocation Costs are subject to repayment provisions if Mr. Girolamo’s employment with the Company is terminated within two years of his relocation date.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Ulrich Ernst</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Effective March 25, 2024, we entered into an employment agreement with Mr. Ernst, pursuant to which he served as Executive Vice President, Technical Operations of the Company and its subsidiaries and affiliates effective March 25, 2024. The agreement provided for a base salary of not less than $450,000 per year, a target cash bonus opportunity of 40% of base salary, eligibility to receive long-term incentive awards under the Incentive Equity Plan, eligibility for participation in the Company’s employee health and welfare benefit and retirement programs and certain severance benefits described below. In addition, the Company agreed to provide relocation assistance in an amount not to exceed $159,000. On March 3, 2025, we terminated Mr. Ernst’s employment with us. In accordance with his employment agreement, Mr. Ernst will receive salary continuation for a period of nine months following his termination date, payable in accordance with the Company’s normal payroll cycle and continued participation in the Company’s group health plan at active employee rates for a period of nine months following his termination date.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Change-In-Control</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Under the Employment Agreements for each of our NEOs, if the executive’s employment is terminated by the Company without Cause or by the executive for Good Reason (each as defined in the applicable Employment Agreement) (a “Qualifying Termination Absent a Change in Control”), subject to the executive’s timely execution and non-revocation of a release of claims, the executive will receive (i) any earned but unpaid bonus for any prior completed fiscal year, payable when such payments would otherwise be paid, (ii) severance payments in the form of base salary continuation payable over the applicable post-termination severance period set forth in the table below and (iii) continued participation in the Company’s group health plan for the applicable post-termination severance period set forth in the table below.</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event that the executive’s employment is terminated by the Company without Cause or by the executive for Good Reason within the applicable protection period set forth in the table below following a Change in Control (as defined in the Incentive Equity Plan) (a “Qualifying Termination Following a Change in Control”), subject to the executive’s timely execution and non-revocation of a release of claims, the executive will receive (i) a lump-sum severance payment equal to the applicable severance multiple set forth in the table below multiplied by the sum of the executive’s (A) then-current base salary and (B) then-current target bonus opportunity,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16" w:name="page117"/>
    <w:bookmarkEnd w:id="116"/>
    <w:p>
      <w:pPr>
        <w:ind w:left="-8" w:firstLine="8"/>
        <w:spacing w:after="0" w:line="282" w:lineRule="auto"/>
        <w:tabs>
          <w:tab w:leader="none" w:pos="25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participation in the Company’s group health plan for the applicable post-termination benefits period set forth in the table below and (iii) full vesting of any equity awards then outstanding held by the executive.</w:t>
      </w:r>
    </w:p>
    <w:p>
      <w:pPr>
        <w:sectPr>
          <w:pgSz w:w="11900" w:h="16838" w:orient="portrait"/>
          <w:cols w:equalWidth="0" w:num="1">
            <w:col w:w="11092"/>
          </w:cols>
          <w:pgMar w:left="328" w:top="1093" w:right="479" w:bottom="1440" w:gutter="0" w:footer="0" w:header="0"/>
        </w:sectPr>
      </w:pPr>
    </w:p>
    <w:p>
      <w:pPr>
        <w:spacing w:after="0" w:line="374" w:lineRule="exact"/>
        <w:rPr>
          <w:sz w:val="20"/>
          <w:szCs w:val="20"/>
          <w:color w:val="auto"/>
        </w:rPr>
      </w:pPr>
    </w:p>
    <w:p>
      <w:pPr>
        <w:ind w:left="1992"/>
        <w:spacing w:after="0"/>
        <w:rPr>
          <w:sz w:val="20"/>
          <w:szCs w:val="20"/>
          <w:color w:val="auto"/>
        </w:rPr>
      </w:pPr>
      <w:r>
        <w:rPr>
          <w:rFonts w:ascii="Times New Roman" w:cs="Times New Roman" w:eastAsia="Times New Roman" w:hAnsi="Times New Roman"/>
          <w:sz w:val="18"/>
          <w:szCs w:val="18"/>
          <w:b w:val="1"/>
          <w:bCs w:val="1"/>
          <w:color w:val="auto"/>
        </w:rPr>
        <w:t>NEO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52" w:right="680"/>
        <w:spacing w:after="0" w:line="261" w:lineRule="auto"/>
        <w:rPr>
          <w:sz w:val="20"/>
          <w:szCs w:val="20"/>
          <w:color w:val="auto"/>
        </w:rPr>
      </w:pPr>
      <w:r>
        <w:rPr>
          <w:rFonts w:ascii="Times New Roman" w:cs="Times New Roman" w:eastAsia="Times New Roman" w:hAnsi="Times New Roman"/>
          <w:sz w:val="18"/>
          <w:szCs w:val="18"/>
          <w:color w:val="auto"/>
        </w:rPr>
        <w:t>Bruce Culleton, Chief Executive Officer Todd Girolamo,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-281940</wp:posOffset>
            </wp:positionV>
            <wp:extent cx="23399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ind w:left="352"/>
        <w:spacing w:after="0" w:line="260" w:lineRule="auto"/>
        <w:rPr>
          <w:sz w:val="20"/>
          <w:szCs w:val="20"/>
          <w:color w:val="auto"/>
        </w:rPr>
      </w:pPr>
      <w:r>
        <w:rPr>
          <w:rFonts w:ascii="Times New Roman" w:cs="Times New Roman" w:eastAsia="Times New Roman" w:hAnsi="Times New Roman"/>
          <w:sz w:val="18"/>
          <w:szCs w:val="18"/>
          <w:color w:val="auto"/>
        </w:rPr>
        <w:t>Ulrich Ernst, Executive Vice President, Technical Operations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Qualifying Termination Absent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0</wp:posOffset>
            </wp:positionV>
            <wp:extent cx="1028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ind w:left="120" w:right="140" w:hanging="34"/>
        <w:spacing w:after="0" w:line="258" w:lineRule="auto"/>
        <w:rPr>
          <w:sz w:val="20"/>
          <w:szCs w:val="20"/>
          <w:color w:val="auto"/>
        </w:rPr>
      </w:pPr>
      <w:r>
        <w:rPr>
          <w:rFonts w:ascii="Times New Roman" w:cs="Times New Roman" w:eastAsia="Times New Roman" w:hAnsi="Times New Roman"/>
          <w:sz w:val="18"/>
          <w:szCs w:val="18"/>
          <w:b w:val="1"/>
          <w:bCs w:val="1"/>
          <w:color w:val="auto"/>
        </w:rPr>
        <w:t>Post-Termination Severance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0</wp:posOffset>
            </wp:positionV>
            <wp:extent cx="10287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ind w:left="640" w:hanging="228"/>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w:t>
      </w:r>
    </w:p>
    <w:p>
      <w:pPr>
        <w:spacing w:after="0" w:line="22"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-2421890</wp:posOffset>
            </wp:positionH>
            <wp:positionV relativeFrom="paragraph">
              <wp:posOffset>-267970</wp:posOffset>
            </wp:positionV>
            <wp:extent cx="6703695"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03695" cy="137160"/>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5715</wp:posOffset>
            </wp:positionV>
            <wp:extent cx="6703695" cy="274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03695" cy="274320"/>
                    </a:xfrm>
                    <a:prstGeom prst="rect">
                      <a:avLst/>
                    </a:prstGeom>
                    <a:noFill/>
                  </pic:spPr>
                </pic:pic>
              </a:graphicData>
            </a:graphic>
          </wp:anchor>
        </w:drawing>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9 months</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Qualifying Termination Following a Change in Control</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Protection Period</w:t>
            </w: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Severance Multiple</w:t>
            </w:r>
          </w:p>
        </w:tc>
        <w:tc>
          <w:tcPr>
            <w:tcW w:w="1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Post-Termination</w:t>
            </w:r>
          </w:p>
        </w:tc>
        <w:tc>
          <w:tcPr>
            <w:tcW w:w="0" w:type="dxa"/>
            <w:vAlign w:val="bottom"/>
          </w:tcPr>
          <w:p>
            <w:pPr>
              <w:spacing w:after="0"/>
              <w:rPr>
                <w:sz w:val="1"/>
                <w:szCs w:val="1"/>
                <w:color w:val="auto"/>
              </w:rPr>
            </w:pPr>
          </w:p>
        </w:tc>
      </w:tr>
      <w:tr>
        <w:trPr>
          <w:trHeight w:val="130"/>
        </w:trPr>
        <w:tc>
          <w:tcPr>
            <w:tcW w:w="1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Benefits Period</w:t>
            </w:r>
          </w:p>
        </w:tc>
        <w:tc>
          <w:tcPr>
            <w:tcW w:w="0" w:type="dxa"/>
            <w:vAlign w:val="bottom"/>
          </w:tcPr>
          <w:p>
            <w:pPr>
              <w:spacing w:after="0"/>
              <w:rPr>
                <w:sz w:val="1"/>
                <w:szCs w:val="1"/>
                <w:color w:val="auto"/>
              </w:rPr>
            </w:pPr>
          </w:p>
        </w:tc>
      </w:tr>
      <w:tr>
        <w:trPr>
          <w:trHeight w:val="108"/>
        </w:trPr>
        <w:tc>
          <w:tcPr>
            <w:tcW w:w="16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18 months</w:t>
            </w:r>
          </w:p>
        </w:tc>
        <w:tc>
          <w:tcPr>
            <w:tcW w:w="120" w:type="dxa"/>
            <w:vAlign w:val="bottom"/>
          </w:tcPr>
          <w:p>
            <w:pPr>
              <w:spacing w:after="0"/>
              <w:rPr>
                <w:sz w:val="16"/>
                <w:szCs w:val="16"/>
                <w:color w:val="auto"/>
              </w:rPr>
            </w:pPr>
          </w:p>
        </w:tc>
        <w:tc>
          <w:tcPr>
            <w:tcW w:w="15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1.5X</w:t>
            </w:r>
          </w:p>
        </w:tc>
        <w:tc>
          <w:tcPr>
            <w:tcW w:w="100" w:type="dxa"/>
            <w:vAlign w:val="bottom"/>
          </w:tcPr>
          <w:p>
            <w:pPr>
              <w:spacing w:after="0"/>
              <w:rPr>
                <w:sz w:val="16"/>
                <w:szCs w:val="16"/>
                <w:color w:val="auto"/>
              </w:rPr>
            </w:pPr>
          </w:p>
        </w:tc>
        <w:tc>
          <w:tcPr>
            <w:tcW w:w="1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18 months</w:t>
            </w:r>
          </w:p>
        </w:tc>
        <w:tc>
          <w:tcPr>
            <w:tcW w:w="0" w:type="dxa"/>
            <w:vAlign w:val="bottom"/>
          </w:tcPr>
          <w:p>
            <w:pPr>
              <w:spacing w:after="0"/>
              <w:rPr>
                <w:sz w:val="1"/>
                <w:szCs w:val="1"/>
                <w:color w:val="auto"/>
              </w:rPr>
            </w:pPr>
          </w:p>
        </w:tc>
      </w:tr>
      <w:tr>
        <w:trPr>
          <w:trHeight w:val="234"/>
        </w:trPr>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 months</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1X</w:t>
            </w:r>
          </w:p>
        </w:tc>
        <w:tc>
          <w:tcPr>
            <w:tcW w:w="1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 months</w:t>
            </w:r>
          </w:p>
        </w:tc>
        <w:tc>
          <w:tcPr>
            <w:tcW w:w="0" w:type="dxa"/>
            <w:vAlign w:val="bottom"/>
          </w:tcPr>
          <w:p>
            <w:pPr>
              <w:spacing w:after="0"/>
              <w:rPr>
                <w:sz w:val="1"/>
                <w:szCs w:val="1"/>
                <w:color w:val="auto"/>
              </w:rPr>
            </w:pPr>
          </w:p>
        </w:tc>
      </w:tr>
      <w:tr>
        <w:trPr>
          <w:trHeight w:val="324"/>
        </w:trPr>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 months</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1X</w:t>
            </w:r>
          </w:p>
        </w:tc>
        <w:tc>
          <w:tcPr>
            <w:tcW w:w="1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 months</w:t>
            </w:r>
          </w:p>
        </w:tc>
        <w:tc>
          <w:tcPr>
            <w:tcW w:w="0" w:type="dxa"/>
            <w:vAlign w:val="bottom"/>
          </w:tcPr>
          <w:p>
            <w:pPr>
              <w:spacing w:after="0"/>
              <w:rPr>
                <w:sz w:val="1"/>
                <w:szCs w:val="1"/>
                <w:color w:val="auto"/>
              </w:rPr>
            </w:pPr>
          </w:p>
        </w:tc>
      </w:tr>
    </w:tbl>
    <w:p>
      <w:pPr>
        <w:sectPr>
          <w:pgSz w:w="11900" w:h="16838" w:orient="portrait"/>
          <w:cols w:equalWidth="0" w:num="3">
            <w:col w:w="3952" w:space="200"/>
            <w:col w:w="1600" w:space="100"/>
            <w:col w:w="5240"/>
          </w:cols>
          <w:pgMar w:left="328" w:top="1093" w:right="479" w:bottom="1440" w:gutter="0" w:footer="0" w:header="0"/>
          <w:type w:val="continuous"/>
        </w:sectPr>
      </w:pPr>
    </w:p>
    <w:bookmarkStart w:id="117" w:name="page118"/>
    <w:bookmarkEnd w:id="117"/>
    <w:p>
      <w:pPr>
        <w:ind w:left="520"/>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Year-End</w:t>
      </w:r>
    </w:p>
    <w:p>
      <w:pPr>
        <w:spacing w:after="0" w:line="121" w:lineRule="exact"/>
        <w:rPr>
          <w:sz w:val="20"/>
          <w:szCs w:val="20"/>
          <w:color w:val="auto"/>
        </w:rPr>
      </w:pPr>
    </w:p>
    <w:p>
      <w:pPr>
        <w:ind w:firstLine="524"/>
        <w:spacing w:after="0" w:line="257" w:lineRule="auto"/>
        <w:rPr>
          <w:sz w:val="20"/>
          <w:szCs w:val="20"/>
          <w:color w:val="auto"/>
        </w:rPr>
      </w:pPr>
      <w:r>
        <w:rPr>
          <w:rFonts w:ascii="Times New Roman" w:cs="Times New Roman" w:eastAsia="Times New Roman" w:hAnsi="Times New Roman"/>
          <w:sz w:val="18"/>
          <w:szCs w:val="18"/>
          <w:color w:val="auto"/>
        </w:rPr>
        <w:t>The following table shows grants of stock options and grants of unvested stock awards outstanding on the last day of the fiscal year ended December 31, 2024, including both awards subject to performance conditions and non-performance-based awards, to each of the executive officers named in the Summary Compensation Table.</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center"/>
              <w:ind w:left="471"/>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Incentiv</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Incenti</w:t>
            </w:r>
          </w:p>
        </w:tc>
        <w:tc>
          <w:tcPr>
            <w:tcW w:w="200" w:type="dxa"/>
            <w:vAlign w:val="bottom"/>
          </w:tcPr>
          <w:p>
            <w:pPr>
              <w:spacing w:after="0"/>
              <w:rPr>
                <w:sz w:val="18"/>
                <w:szCs w:val="18"/>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e Plan</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 Plan</w:t>
            </w:r>
          </w:p>
        </w:tc>
        <w:tc>
          <w:tcPr>
            <w:tcW w:w="2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8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Incentiv</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s:</w:t>
            </w:r>
          </w:p>
        </w:tc>
        <w:tc>
          <w:tcPr>
            <w:tcW w:w="200" w:type="dxa"/>
            <w:vAlign w:val="bottom"/>
          </w:tcPr>
          <w:p>
            <w:pPr>
              <w:spacing w:after="0"/>
              <w:rPr>
                <w:sz w:val="18"/>
                <w:szCs w:val="18"/>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 Plan</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Marke</w:t>
            </w:r>
          </w:p>
        </w:tc>
        <w:tc>
          <w:tcPr>
            <w:tcW w:w="2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w:t>
            </w:r>
          </w:p>
        </w:tc>
        <w:tc>
          <w:tcPr>
            <w:tcW w:w="200" w:type="dxa"/>
            <w:vAlign w:val="bottom"/>
          </w:tcPr>
          <w:p>
            <w:pPr>
              <w:spacing w:after="0"/>
              <w:rPr>
                <w:sz w:val="18"/>
                <w:szCs w:val="18"/>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Numbe</w:t>
            </w:r>
          </w:p>
        </w:tc>
        <w:tc>
          <w:tcPr>
            <w:tcW w:w="220" w:type="dxa"/>
            <w:vAlign w:val="bottom"/>
          </w:tcPr>
          <w:p>
            <w:pPr>
              <w:spacing w:after="0"/>
              <w:rPr>
                <w:sz w:val="18"/>
                <w:szCs w:val="18"/>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Numbe</w:t>
            </w:r>
          </w:p>
        </w:tc>
        <w:tc>
          <w:tcPr>
            <w:tcW w:w="2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t</w:t>
            </w:r>
          </w:p>
        </w:tc>
        <w:tc>
          <w:tcPr>
            <w:tcW w:w="2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 of</w:t>
            </w:r>
          </w:p>
        </w:tc>
        <w:tc>
          <w:tcPr>
            <w:tcW w:w="200" w:type="dxa"/>
            <w:vAlign w:val="bottom"/>
          </w:tcPr>
          <w:p>
            <w:pPr>
              <w:spacing w:after="0"/>
              <w:rPr>
                <w:sz w:val="18"/>
                <w:szCs w:val="18"/>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 of</w:t>
            </w:r>
          </w:p>
        </w:tc>
        <w:tc>
          <w:tcPr>
            <w:tcW w:w="2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r of</w:t>
            </w:r>
          </w:p>
        </w:tc>
        <w:tc>
          <w:tcPr>
            <w:tcW w:w="2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Unearn</w:t>
            </w:r>
          </w:p>
        </w:tc>
        <w:tc>
          <w:tcPr>
            <w:tcW w:w="20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Securiti</w:t>
            </w:r>
          </w:p>
        </w:tc>
        <w:tc>
          <w:tcPr>
            <w:tcW w:w="22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Securiti</w:t>
            </w:r>
          </w:p>
        </w:tc>
        <w:tc>
          <w:tcPr>
            <w:tcW w:w="2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of</w:t>
            </w:r>
          </w:p>
        </w:tc>
        <w:tc>
          <w:tcPr>
            <w:tcW w:w="2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20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Unearn</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es</w:t>
            </w:r>
          </w:p>
        </w:tc>
        <w:tc>
          <w:tcPr>
            <w:tcW w:w="2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es</w:t>
            </w:r>
          </w:p>
        </w:tc>
        <w:tc>
          <w:tcPr>
            <w:tcW w:w="22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Securiti</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0" w:type="dxa"/>
            <w:vAlign w:val="bottom"/>
          </w:tcPr>
          <w:p>
            <w:pPr>
              <w:spacing w:after="0"/>
              <w:rPr>
                <w:sz w:val="18"/>
                <w:szCs w:val="18"/>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Underl</w:t>
            </w:r>
          </w:p>
        </w:tc>
        <w:tc>
          <w:tcPr>
            <w:tcW w:w="2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Underl</w:t>
            </w:r>
          </w:p>
        </w:tc>
        <w:tc>
          <w:tcPr>
            <w:tcW w:w="2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3"/>
              </w:rPr>
              <w:t>or</w:t>
            </w:r>
          </w:p>
        </w:tc>
        <w:tc>
          <w:tcPr>
            <w:tcW w:w="2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200" w:type="dxa"/>
            <w:vAlign w:val="bottom"/>
          </w:tcPr>
          <w:p>
            <w:pPr>
              <w:spacing w:after="0"/>
              <w:rPr>
                <w:sz w:val="18"/>
                <w:szCs w:val="18"/>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ying</w:t>
            </w:r>
          </w:p>
        </w:tc>
        <w:tc>
          <w:tcPr>
            <w:tcW w:w="2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ying</w:t>
            </w:r>
          </w:p>
        </w:tc>
        <w:tc>
          <w:tcPr>
            <w:tcW w:w="2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Underly</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2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or</w:t>
            </w:r>
          </w:p>
        </w:tc>
        <w:tc>
          <w:tcPr>
            <w:tcW w:w="200" w:type="dxa"/>
            <w:vAlign w:val="bottom"/>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Units 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Unexer</w:t>
            </w:r>
          </w:p>
        </w:tc>
        <w:tc>
          <w:tcPr>
            <w:tcW w:w="220" w:type="dxa"/>
            <w:vAlign w:val="bottom"/>
          </w:tcPr>
          <w:p>
            <w:pPr>
              <w:spacing w:after="0"/>
              <w:rPr>
                <w:sz w:val="18"/>
                <w:szCs w:val="18"/>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Unexer</w:t>
            </w:r>
          </w:p>
        </w:tc>
        <w:tc>
          <w:tcPr>
            <w:tcW w:w="22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ing</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of</w:t>
            </w:r>
          </w:p>
        </w:tc>
        <w:tc>
          <w:tcPr>
            <w:tcW w:w="2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cised</w:t>
            </w:r>
          </w:p>
        </w:tc>
        <w:tc>
          <w:tcPr>
            <w:tcW w:w="2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cised</w:t>
            </w:r>
          </w:p>
        </w:tc>
        <w:tc>
          <w:tcPr>
            <w:tcW w:w="22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Unexerc</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26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200" w:type="dxa"/>
            <w:vAlign w:val="bottom"/>
          </w:tcPr>
          <w:p>
            <w:pPr>
              <w:spacing w:after="0"/>
              <w:rPr>
                <w:sz w:val="18"/>
                <w:szCs w:val="18"/>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ised</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26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2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200" w:type="dxa"/>
            <w:vAlign w:val="bottom"/>
          </w:tcPr>
          <w:p>
            <w:pPr>
              <w:spacing w:after="0"/>
              <w:rPr>
                <w:sz w:val="18"/>
                <w:szCs w:val="18"/>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That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2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4"/>
              </w:rPr>
              <w:t>s</w:t>
            </w:r>
          </w:p>
        </w:tc>
        <w:tc>
          <w:tcPr>
            <w:tcW w:w="2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Unearne</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 Price</w:t>
            </w:r>
          </w:p>
        </w:tc>
        <w:tc>
          <w:tcPr>
            <w:tcW w:w="1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26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2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200" w:type="dxa"/>
            <w:vAlign w:val="bottom"/>
          </w:tcPr>
          <w:p>
            <w:pPr>
              <w:spacing w:after="0"/>
              <w:rPr>
                <w:sz w:val="18"/>
                <w:szCs w:val="18"/>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40" w:type="dxa"/>
            <w:vAlign w:val="bottom"/>
          </w:tcPr>
          <w:p>
            <w:pPr>
              <w:spacing w:after="0"/>
              <w:rPr>
                <w:sz w:val="18"/>
                <w:szCs w:val="18"/>
                <w:color w:val="auto"/>
              </w:rPr>
            </w:pPr>
          </w:p>
        </w:tc>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Per</w:t>
            </w:r>
          </w:p>
        </w:tc>
        <w:tc>
          <w:tcPr>
            <w:tcW w:w="1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w:t>
            </w: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2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200" w:type="dxa"/>
            <w:vAlign w:val="bottom"/>
          </w:tcPr>
          <w:p>
            <w:pPr>
              <w:spacing w:after="0"/>
              <w:rPr>
                <w:sz w:val="18"/>
                <w:szCs w:val="18"/>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Exercis</w:t>
            </w:r>
          </w:p>
        </w:tc>
        <w:tc>
          <w:tcPr>
            <w:tcW w:w="220" w:type="dxa"/>
            <w:vAlign w:val="bottom"/>
          </w:tcPr>
          <w:p>
            <w:pPr>
              <w:spacing w:after="0"/>
              <w:rPr>
                <w:sz w:val="18"/>
                <w:szCs w:val="18"/>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Unexer</w:t>
            </w:r>
          </w:p>
        </w:tc>
        <w:tc>
          <w:tcPr>
            <w:tcW w:w="2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tion</w:t>
            </w: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26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2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20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0" w:type="dxa"/>
            <w:vAlign w:val="bottom"/>
          </w:tcPr>
          <w:p>
            <w:pPr>
              <w:spacing w:after="0"/>
              <w:rPr>
                <w:sz w:val="1"/>
                <w:szCs w:val="1"/>
                <w:color w:val="auto"/>
              </w:rPr>
            </w:pPr>
          </w:p>
        </w:tc>
      </w:tr>
      <w:tr>
        <w:trPr>
          <w:trHeight w:val="238"/>
        </w:trPr>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4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able</w:t>
            </w:r>
          </w:p>
        </w:tc>
        <w:tc>
          <w:tcPr>
            <w:tcW w:w="22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cisable</w:t>
            </w:r>
          </w:p>
        </w:tc>
        <w:tc>
          <w:tcPr>
            <w:tcW w:w="22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8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0"/>
                <w:szCs w:val="20"/>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200" w:type="dxa"/>
            <w:vAlign w:val="bottom"/>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2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Bruce Culleton, M.D.</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12/3/20 2</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12/3/20</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060" w:type="dxa"/>
            <w:vAlign w:val="bottom"/>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12/3/20 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12/3/20</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7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2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8/1/202 4</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161,66</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323,33</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8/1/203</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$ 13.08</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20" w:type="dxa"/>
            <w:vAlign w:val="bottom"/>
          </w:tcPr>
          <w:p>
            <w:pPr>
              <w:spacing w:after="0"/>
              <w:rPr>
                <w:sz w:val="17"/>
                <w:szCs w:val="17"/>
                <w:color w:val="auto"/>
              </w:rPr>
            </w:pPr>
          </w:p>
        </w:tc>
        <w:tc>
          <w:tcPr>
            <w:tcW w:w="1060" w:type="dxa"/>
            <w:vAlign w:val="bottom"/>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C. Girolamo</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3/1/202 5</w:t>
            </w:r>
          </w:p>
        </w:tc>
        <w:tc>
          <w:tcPr>
            <w:tcW w:w="6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243,75</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3/1/203</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7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2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Chief Legal Officer</w:t>
            </w:r>
          </w:p>
        </w:tc>
        <w:tc>
          <w:tcPr>
            <w:tcW w:w="1060" w:type="dxa"/>
            <w:vAlign w:val="bottom"/>
            <w:gridSpan w:val="3"/>
            <w:shd w:val="clear" w:color="auto" w:fill="CFF0FC"/>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vMerge w:val="continue"/>
            <w:shd w:val="clear" w:color="auto" w:fill="CFF0FC"/>
          </w:tcPr>
          <w:p>
            <w:pPr>
              <w:spacing w:after="0"/>
              <w:rPr>
                <w:sz w:val="18"/>
                <w:szCs w:val="18"/>
                <w:color w:val="auto"/>
              </w:rPr>
            </w:pP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3/1/202 6</w:t>
            </w:r>
          </w:p>
        </w:tc>
        <w:tc>
          <w:tcPr>
            <w:tcW w:w="6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234,74</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3/1/203</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20" w:type="dxa"/>
            <w:vAlign w:val="bottom"/>
          </w:tcPr>
          <w:p>
            <w:pPr>
              <w:spacing w:after="0"/>
              <w:rPr>
                <w:sz w:val="17"/>
                <w:szCs w:val="17"/>
                <w:color w:val="auto"/>
              </w:rPr>
            </w:pPr>
          </w:p>
        </w:tc>
        <w:tc>
          <w:tcPr>
            <w:tcW w:w="1060" w:type="dxa"/>
            <w:vAlign w:val="bottom"/>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1/16/20 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7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2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10/20/2 7</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377,42</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319,36</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022 )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$ 10.33</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20" w:type="dxa"/>
            <w:vAlign w:val="bottom"/>
          </w:tcPr>
          <w:p>
            <w:pPr>
              <w:spacing w:after="0"/>
              <w:rPr>
                <w:sz w:val="17"/>
                <w:szCs w:val="17"/>
                <w:color w:val="auto"/>
              </w:rPr>
            </w:pPr>
          </w:p>
        </w:tc>
        <w:tc>
          <w:tcPr>
            <w:tcW w:w="1060" w:type="dxa"/>
            <w:vAlign w:val="bottom"/>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1/17/20 8</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163,85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0"/>
                <w:szCs w:val="20"/>
                <w:color w:val="auto"/>
              </w:rPr>
            </w:pPr>
          </w:p>
        </w:tc>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7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2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Ulrich Ernst</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7/17/20 9</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7/17/20</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20" w:type="dxa"/>
            <w:vAlign w:val="bottom"/>
          </w:tcPr>
          <w:p>
            <w:pPr>
              <w:ind w:left="200"/>
              <w:spacing w:after="0" w:line="195" w:lineRule="exact"/>
              <w:rPr>
                <w:sz w:val="20"/>
                <w:szCs w:val="20"/>
                <w:color w:val="auto"/>
              </w:rPr>
            </w:pPr>
            <w:r>
              <w:rPr>
                <w:rFonts w:ascii="Times New Roman" w:cs="Times New Roman" w:eastAsia="Times New Roman" w:hAnsi="Times New Roman"/>
                <w:sz w:val="18"/>
                <w:szCs w:val="18"/>
                <w:i w:val="1"/>
                <w:iCs w:val="1"/>
                <w:color w:val="auto"/>
              </w:rPr>
              <w:t>Executive Vice</w:t>
            </w:r>
          </w:p>
        </w:tc>
        <w:tc>
          <w:tcPr>
            <w:tcW w:w="1060" w:type="dxa"/>
            <w:vAlign w:val="bottom"/>
            <w:gridSpan w:val="3"/>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President, Technical</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4/1/202 4</w:t>
            </w:r>
          </w:p>
        </w:tc>
        <w:tc>
          <w:tcPr>
            <w:tcW w:w="6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335,00</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4/1/203</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Operations</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7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the award is calculated using the closing price of the Company’s Class A ordinary shares on the last trading day of our</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2024 fiscal year (December 31, 2024), which was $1.69, multiplied by the number of shares subject to the award.</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118" w:name="page119"/>
    <w:bookmarkEnd w:id="118"/>
    <w:p>
      <w:pPr>
        <w:ind w:left="1020" w:hanging="503"/>
        <w:spacing w:after="0" w:line="266"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vests subject to the achievement of both time and performance vesting conditions, with 25% of the shares vesting on November 15, 2024 and the remaining shares vesting in equal quarterly installments over the following three years, subject to the achievement of certain performance milestones.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vests 25% on November 15, 2024 and the remaining 75% vests in substantially equal quarterly installments over the following 36 months on each quarterly anniversary of the date of grant.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vests 25% on the first anniversary of the date of grant and the remaining 75% vests in substantially equal monthly installments for 36 months thereafter.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vest in substantially equal monthly installments over the four-year period beginning on the date of grant.</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 vests 50% on the first anniversary of the date of grant and the remaining 50% vests in substantially equal monthly installments for 12 months thereafter.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vest in substantially equal monthly installments over the four-year period beginning on October 19, 2022.</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awards vest ratably on each of the first, second, third and fourth anniversaries of the date of grant.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vests subject to the achievement of performance vesting conditions.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All of ProKidney’s NEOs are eligible to participate in its employee benefit plans, including its medical, dental, vision, life and disability insurance plans, in each case on the same basis as all of ProKidney’s other employees. ProKidney generally provides perquisites or personal benefits to its NEOs in limited circumstances.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ProKidney maintains a 401(k) plan for its ProKidney-US employees. The 401(k) plan is intended to qualify under Section 401(k) of the Code, so that contributions to the 401(k) plan by ProKidney-US employees or by ProKidney, and the investment earnings thereon, are not taxable to the employees until withdrawn from the 401(k) plan, and so that contributions by ProKidney, if any, will be deductible by ProKidney when made. Full- time employees are eligible to participate in the ProKidney-US plan. Under the 401(k) plan, ProKidney-US employees may elect to reduce their current compensation by up to the statutorily prescribed annual limit and to have the amount of such reduction contributed to the 401(k) plan. The 401(k) plan permits ProKidney to make contributions up to the limits allowed by law on behalf of all eligible ProKidney-US employees. As of December 31, 2024, ProKidney matched 100% of participating ProKidney-US employees’ contribution up to 4% of salary to the ProKidney 401(k) plan.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qualified or non-qualified defined benefit plans.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nonqualified defined contribution plans or other deferred compensation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Equity Awards</w:t>
      </w:r>
    </w:p>
    <w:p>
      <w:pPr>
        <w:spacing w:after="0" w:line="16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Our equity awards, including stock options, are granted in connection with the Company’s yearly compensation cycle and regularly scheduled meetings of the Talent and Compensation Committee. Typically, our practice is to price yearly compensation cycle option award grants on or about March 1 of each year. The Compensation Committee does not grant equity awards in anticipation of the release of material non-public information. Similarly, we do not time the release of material non-public information based on equity award grant dates.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total compensation paid or accrued during the fiscal year ended December 31, 2024 to each of our non-employee directors. Directors who are employed by us are not compensated for their service on the Board.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9" w:name="page120"/>
    <w:bookmarkEnd w:id="119"/>
    <w:tbl>
      <w:tblPr>
        <w:tblLayout w:type="fixed"/>
        <w:tblInd w:w="34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Fees Earned or</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00" w:type="dxa"/>
            <w:vAlign w:val="bottom"/>
          </w:tcPr>
          <w:p>
            <w:pPr>
              <w:spacing w:after="0"/>
              <w:rPr>
                <w:sz w:val="18"/>
                <w:szCs w:val="18"/>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Pr>
          <w:p>
            <w:pPr>
              <w:spacing w:after="0"/>
              <w:rPr>
                <w:sz w:val="20"/>
                <w:szCs w:val="20"/>
                <w:color w:val="auto"/>
              </w:rPr>
            </w:pP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(1)</w:t>
            </w:r>
          </w:p>
        </w:tc>
        <w:tc>
          <w:tcPr>
            <w:tcW w:w="200" w:type="dxa"/>
            <w:vAlign w:val="bottom"/>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Pablo Legorreta</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76,000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188,387</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264,387</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F. Doyle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54,750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188,387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243,137</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Alan M. Lotvin, M.D.</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188,387</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253,887</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J.G. Pereira, M.D.</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188,387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252,887</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Uma Sinha, Ph.D.</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188,387</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239,387</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M. Maraganore, Ph.D. (2)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José Ignacio Jiménez Santos</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188,387</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233,387</w:t>
            </w:r>
          </w:p>
        </w:tc>
        <w:tc>
          <w:tcPr>
            <w:tcW w:w="100" w:type="dxa"/>
            <w:vAlign w:val="bottom"/>
            <w:shd w:val="clear" w:color="auto" w:fill="CFF0FC"/>
          </w:tcPr>
          <w:p>
            <w:pPr>
              <w:spacing w:after="0"/>
              <w:rPr>
                <w:sz w:val="18"/>
                <w:szCs w:val="18"/>
                <w:color w:val="auto"/>
              </w:rPr>
            </w:pPr>
          </w:p>
        </w:tc>
      </w:tr>
      <w:tr>
        <w:trPr>
          <w:trHeight w:val="234"/>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Fox</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56,250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204,569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260,819</w:t>
            </w:r>
          </w:p>
        </w:tc>
        <w:tc>
          <w:tcPr>
            <w:tcW w:w="100" w:type="dxa"/>
            <w:vAlign w:val="bottom"/>
          </w:tcPr>
          <w:p>
            <w:pPr>
              <w:spacing w:after="0"/>
              <w:rPr>
                <w:sz w:val="20"/>
                <w:szCs w:val="20"/>
                <w:color w:val="auto"/>
              </w:rPr>
            </w:pPr>
          </w:p>
        </w:tc>
      </w:tr>
    </w:tbl>
    <w:p>
      <w:pPr>
        <w:spacing w:after="0" w:line="71" w:lineRule="exact"/>
        <w:rPr>
          <w:sz w:val="20"/>
          <w:szCs w:val="20"/>
          <w:color w:val="auto"/>
        </w:rPr>
      </w:pPr>
    </w:p>
    <w:p>
      <w:pPr>
        <w:ind w:left="1020" w:hanging="503"/>
        <w:spacing w:after="0" w:line="258"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date fair value of stock options granted to during 2024, as computed in accordance with ASC Topic 718, not including any estimates of forfeiture. See Notes 2 and 10 of “Notes to Consolidated Financial Statements” of this Annual Report on Form 10-K for the year ended December 31, 2024 for a discussion of assumptions used in determining the grant date fair value of our option awards for fiscal year ended December 31, 2024. Note that amounts reported in this column reflect the accounting cost for these stock options and do not correspond to actual economic value that may be received by the executives from the stock options.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Maraganore’s term as director expired at the annual general meeting of shareholders held on May 30, 2024.</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aggregate number of shares subject to options and Class B RSRs held by each of our non-employee directors as of December 31, 2024.</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92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292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292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29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292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Number of Unvested Class B</w:t>
            </w:r>
          </w:p>
        </w:tc>
      </w:tr>
      <w:tr>
        <w:trPr>
          <w:trHeight w:val="238"/>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920" w:type="dxa"/>
            <w:vAlign w:val="bottom"/>
            <w:tcBorders>
              <w:bottom w:val="single" w:sz="8" w:color="auto"/>
            </w:tcBorders>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7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RSRs Outstanding</w:t>
            </w:r>
          </w:p>
        </w:tc>
        <w:tc>
          <w:tcPr>
            <w:tcW w:w="100" w:type="dxa"/>
            <w:vAlign w:val="bottom"/>
          </w:tcPr>
          <w:p>
            <w:pPr>
              <w:spacing w:after="0"/>
              <w:rPr>
                <w:sz w:val="20"/>
                <w:szCs w:val="20"/>
                <w:color w:val="auto"/>
              </w:rPr>
            </w:pPr>
          </w:p>
        </w:tc>
      </w:tr>
      <w:tr>
        <w:trPr>
          <w:trHeight w:val="209"/>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Pablo Legorreta</w:t>
            </w:r>
          </w:p>
        </w:tc>
        <w:tc>
          <w:tcPr>
            <w:tcW w:w="29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110,686</w:t>
            </w:r>
          </w:p>
        </w:tc>
        <w:tc>
          <w:tcPr>
            <w:tcW w:w="260" w:type="dxa"/>
            <w:vAlign w:val="bottom"/>
            <w:shd w:val="clear" w:color="auto" w:fill="CFF0FC"/>
          </w:tcPr>
          <w:p>
            <w:pPr>
              <w:spacing w:after="0"/>
              <w:rPr>
                <w:sz w:val="18"/>
                <w:szCs w:val="18"/>
                <w:color w:val="auto"/>
              </w:rPr>
            </w:pPr>
          </w:p>
        </w:tc>
        <w:tc>
          <w:tcPr>
            <w:tcW w:w="2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F. Doyle</w:t>
            </w:r>
          </w:p>
        </w:tc>
        <w:tc>
          <w:tcPr>
            <w:tcW w:w="2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110,686</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54,619</w:t>
            </w:r>
          </w:p>
        </w:tc>
        <w:tc>
          <w:tcPr>
            <w:tcW w:w="100" w:type="dxa"/>
            <w:vAlign w:val="bottom"/>
          </w:tcPr>
          <w:p>
            <w:pPr>
              <w:spacing w:after="0"/>
              <w:rPr>
                <w:sz w:val="18"/>
                <w:szCs w:val="18"/>
                <w:color w:val="auto"/>
              </w:rPr>
            </w:pPr>
          </w:p>
        </w:tc>
      </w:tr>
      <w:tr>
        <w:trPr>
          <w:trHeight w:val="21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Alan M. Lotvin, M.D.</w:t>
            </w:r>
          </w:p>
        </w:tc>
        <w:tc>
          <w:tcPr>
            <w:tcW w:w="29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110,686</w:t>
            </w:r>
          </w:p>
        </w:tc>
        <w:tc>
          <w:tcPr>
            <w:tcW w:w="2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54,619</w:t>
            </w:r>
          </w:p>
        </w:tc>
        <w:tc>
          <w:tcPr>
            <w:tcW w:w="100" w:type="dxa"/>
            <w:vAlign w:val="bottom"/>
            <w:shd w:val="clear" w:color="auto" w:fill="CFF0FC"/>
          </w:tcPr>
          <w:p>
            <w:pPr>
              <w:spacing w:after="0"/>
              <w:rPr>
                <w:sz w:val="18"/>
                <w:szCs w:val="18"/>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J.G. Pereira, M.D.</w:t>
            </w:r>
          </w:p>
        </w:tc>
        <w:tc>
          <w:tcPr>
            <w:tcW w:w="2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110,686</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54,619</w:t>
            </w:r>
          </w:p>
        </w:tc>
        <w:tc>
          <w:tcPr>
            <w:tcW w:w="100" w:type="dxa"/>
            <w:vAlign w:val="bottom"/>
          </w:tcPr>
          <w:p>
            <w:pPr>
              <w:spacing w:after="0"/>
              <w:rPr>
                <w:sz w:val="18"/>
                <w:szCs w:val="18"/>
                <w:color w:val="auto"/>
              </w:rPr>
            </w:pPr>
          </w:p>
        </w:tc>
      </w:tr>
      <w:tr>
        <w:trPr>
          <w:trHeight w:val="21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Uma Sinha, Ph.D.</w:t>
            </w:r>
          </w:p>
        </w:tc>
        <w:tc>
          <w:tcPr>
            <w:tcW w:w="29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110,686</w:t>
            </w:r>
          </w:p>
        </w:tc>
        <w:tc>
          <w:tcPr>
            <w:tcW w:w="260" w:type="dxa"/>
            <w:vAlign w:val="bottom"/>
            <w:shd w:val="clear" w:color="auto" w:fill="CFF0FC"/>
          </w:tcPr>
          <w:p>
            <w:pPr>
              <w:spacing w:after="0"/>
              <w:rPr>
                <w:sz w:val="18"/>
                <w:szCs w:val="18"/>
                <w:color w:val="auto"/>
              </w:rPr>
            </w:pPr>
          </w:p>
        </w:tc>
        <w:tc>
          <w:tcPr>
            <w:tcW w:w="2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José Ignacio Jiménez Santos</w:t>
            </w:r>
          </w:p>
        </w:tc>
        <w:tc>
          <w:tcPr>
            <w:tcW w:w="2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110,686</w:t>
            </w:r>
          </w:p>
        </w:tc>
        <w:tc>
          <w:tcPr>
            <w:tcW w:w="260" w:type="dxa"/>
            <w:vAlign w:val="bottom"/>
          </w:tcPr>
          <w:p>
            <w:pPr>
              <w:spacing w:after="0"/>
              <w:rPr>
                <w:sz w:val="18"/>
                <w:szCs w:val="18"/>
                <w:color w:val="auto"/>
              </w:rPr>
            </w:pPr>
          </w:p>
        </w:tc>
        <w:tc>
          <w:tcPr>
            <w:tcW w:w="2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Jennifer Fox</w:t>
            </w:r>
          </w:p>
        </w:tc>
        <w:tc>
          <w:tcPr>
            <w:tcW w:w="29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290,610</w:t>
            </w:r>
          </w:p>
        </w:tc>
        <w:tc>
          <w:tcPr>
            <w:tcW w:w="260" w:type="dxa"/>
            <w:vAlign w:val="bottom"/>
            <w:shd w:val="clear" w:color="auto" w:fill="CFF0FC"/>
          </w:tcPr>
          <w:p>
            <w:pPr>
              <w:spacing w:after="0"/>
              <w:rPr>
                <w:sz w:val="18"/>
                <w:szCs w:val="18"/>
                <w:color w:val="auto"/>
              </w:rPr>
            </w:pPr>
          </w:p>
        </w:tc>
        <w:tc>
          <w:tcPr>
            <w:tcW w:w="2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standard compensation arrangements under which our directors are compensated for their service as directors, including as members of the various committees of our board.</w:t>
      </w:r>
    </w:p>
    <w:p>
      <w:pPr>
        <w:spacing w:after="0" w:line="54"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Board adopted a non-employee director compensation policy in September 2022, as amended in February 2024, April 2024, and November 2024, that is applicable to all of our non-employee directors (the “Non-Employee Director Compensation Policy”). Prior to the adoption of the Non-Employee Director Compensation Policy, we entered into various individual arrangements with our non-employee directors and granted options to them from time to time. The Non-Employee Director Compensation Policy provides that each non-employee director will receive the following compensation for service on the Board:</w:t>
      </w:r>
    </w:p>
    <w:p>
      <w:pPr>
        <w:spacing w:after="0" w:line="75" w:lineRule="exact"/>
        <w:rPr>
          <w:sz w:val="20"/>
          <w:szCs w:val="20"/>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$40,000;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retainer of $35,000 for service as the non-executive chair of the Board;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$10,000, $7,500 and $5,000 for service as a non-chair member of the Audit Committee, Talent and Compensation Committee and the Nominating Committee, respectively;</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$20,000, $15,000, and $10,000 for service as Chair of the Audit Committee, Talent and Compensation Committee and the Nominating Committee, respectively;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option grant (the “Initial Grant”) to purchase a number of Class A ordinary shares as determined by the Board. The options subject</w:t>
      </w:r>
    </w:p>
    <w:p>
      <w:pPr>
        <w:spacing w:after="0" w:line="27" w:lineRule="exact"/>
        <w:rPr>
          <w:sz w:val="20"/>
          <w:szCs w:val="20"/>
          <w:color w:val="auto"/>
        </w:rPr>
      </w:pPr>
    </w:p>
    <w:p>
      <w:pPr>
        <w:ind w:left="1020" w:right="420"/>
        <w:spacing w:after="0" w:line="250" w:lineRule="auto"/>
        <w:rPr>
          <w:sz w:val="20"/>
          <w:szCs w:val="20"/>
          <w:color w:val="auto"/>
        </w:rPr>
      </w:pPr>
      <w:r>
        <w:rPr>
          <w:rFonts w:ascii="Times New Roman" w:cs="Times New Roman" w:eastAsia="Times New Roman" w:hAnsi="Times New Roman"/>
          <w:sz w:val="18"/>
          <w:szCs w:val="18"/>
          <w:color w:val="auto"/>
        </w:rPr>
        <w:t>to the Initial Grant will vest in equal monthly installments over the 36 months following the date of grant, subject to the Non-Employee Director’s Continuous Service (as defined in the Incentive Equity Plan) on each vesting date; and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20" w:name="page121"/>
    <w:bookmarkEnd w:id="120"/>
    <w:p>
      <w:pPr>
        <w:ind w:left="1020" w:right="20" w:hanging="503"/>
        <w:spacing w:after="0" w:line="258"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option grant (the “Annual Grant”) to purchase a number of Class A ordinary shares equal to 0.043% of the total aggregate Class A ordinary shares and Class B ordinary shares outstanding on the date of grant. Such award is made on the date of each of our annual general shareholder meetings. The options subject to the Annual Grant will vest in full on the sooner of the one-year anniversary of the date of grant or the date of Company’s next annual general shareholder meeting, subject to the Non-Employee Director’s Continuous Service (as defined in the Incentive Equity Plan) through such vesting date.</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Each non-employee director may make an election to receive a grant of Class A ordinary shares in lieu of all, or a portion of, their cash retainer payments described above. The number of Class A ordinary shares to be granted to the electing director will be computed by dividing the amount of cash compensation otherwise payable by the closing price of the Company’s Class A ordinary shares on the regular payment date of such cash compensation.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the Company’s ordinary shares as of March 17, 2025 by:</w:t>
      </w:r>
    </w:p>
    <w:p>
      <w:pPr>
        <w:spacing w:after="0" w:line="67" w:lineRule="exact"/>
        <w:rPr>
          <w:sz w:val="20"/>
          <w:szCs w:val="20"/>
          <w:color w:val="auto"/>
        </w:rPr>
      </w:pPr>
    </w:p>
    <w:p>
      <w:pPr>
        <w:ind w:left="1040" w:hanging="452"/>
        <w:spacing w:after="0"/>
        <w:tabs>
          <w:tab w:leader="none" w:pos="10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the Company to be the beneficial owner of more than 5% of the outstanding Company ordinary shares;</w:t>
      </w:r>
    </w:p>
    <w:p>
      <w:pPr>
        <w:spacing w:after="0" w:line="130"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Company’s executive officers and directors; and</w:t>
      </w:r>
    </w:p>
    <w:p>
      <w:pPr>
        <w:spacing w:after="0" w:line="130"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 Ordinary shares subject to options exercisable on or within 60 days after March 17, 2025 are deemed outstanding for the purpose of computing the percentage ownership of the person holding those options but are not deemed outstanding for computing the percentage ownership of any other person.</w:t>
      </w:r>
    </w:p>
    <w:p>
      <w:pPr>
        <w:spacing w:after="0" w:line="7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beneficial ownership of the Company ordinary shares is based on 129,536,121 Class A ordinary shares and 163,161,528 Class B ordinary shares issued and outstanding as of March 17, 2025.</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w:t>
      </w:r>
    </w:p>
    <w:p>
      <w:pPr>
        <w:spacing w:after="0" w:line="5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Voting</w:t>
            </w:r>
          </w:p>
        </w:tc>
        <w:tc>
          <w:tcPr>
            <w:tcW w:w="0" w:type="dxa"/>
            <w:vAlign w:val="bottom"/>
          </w:tcPr>
          <w:p>
            <w:pPr>
              <w:spacing w:after="0"/>
              <w:rPr>
                <w:sz w:val="1"/>
                <w:szCs w:val="1"/>
                <w:color w:val="auto"/>
              </w:rPr>
            </w:pPr>
          </w:p>
        </w:tc>
      </w:t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 (1)</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210"/>
        </w:trPr>
        <w:tc>
          <w:tcPr>
            <w:tcW w:w="52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0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Bruce Culleton, M.D.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1,537,020</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6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Pablo Legorreta (2)(15)</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5260" w:type="dxa"/>
            <w:vAlign w:val="bottom"/>
            <w:vMerge w:val="continue"/>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22,666,037</w:t>
            </w:r>
          </w:p>
        </w:tc>
        <w:tc>
          <w:tcPr>
            <w:tcW w:w="82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88,639,961</w:t>
            </w:r>
          </w:p>
        </w:tc>
        <w:tc>
          <w:tcPr>
            <w:tcW w:w="82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3 %</w:t>
            </w:r>
          </w:p>
        </w:tc>
        <w:tc>
          <w:tcPr>
            <w:tcW w:w="14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38.0 %</w:t>
            </w:r>
          </w:p>
        </w:tc>
        <w:tc>
          <w:tcPr>
            <w:tcW w:w="0" w:type="dxa"/>
            <w:vAlign w:val="bottom"/>
          </w:tcPr>
          <w:p>
            <w:pPr>
              <w:spacing w:after="0"/>
              <w:rPr>
                <w:sz w:val="1"/>
                <w:szCs w:val="1"/>
                <w:color w:val="auto"/>
              </w:rPr>
            </w:pPr>
          </w:p>
        </w:tc>
      </w:tr>
      <w:tr>
        <w:trPr>
          <w:trHeight w:val="108"/>
        </w:trPr>
        <w:tc>
          <w:tcPr>
            <w:tcW w:w="5260" w:type="dxa"/>
            <w:vAlign w:val="bottom"/>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820" w:type="dxa"/>
            <w:vAlign w:val="bottom"/>
            <w:gridSpan w:val="3"/>
            <w:vMerge w:val="continue"/>
            <w:shd w:val="clear" w:color="auto" w:fill="CFF0FC"/>
          </w:tcPr>
          <w:p>
            <w:pPr>
              <w:spacing w:after="0"/>
              <w:rPr>
                <w:sz w:val="9"/>
                <w:szCs w:val="9"/>
                <w:color w:val="auto"/>
              </w:rPr>
            </w:pPr>
          </w:p>
        </w:tc>
        <w:tc>
          <w:tcPr>
            <w:tcW w:w="1100" w:type="dxa"/>
            <w:vAlign w:val="bottom"/>
            <w:vMerge w:val="continue"/>
            <w:shd w:val="clear" w:color="auto" w:fill="CFF0FC"/>
          </w:tcPr>
          <w:p>
            <w:pPr>
              <w:spacing w:after="0"/>
              <w:rPr>
                <w:sz w:val="9"/>
                <w:szCs w:val="9"/>
                <w:color w:val="auto"/>
              </w:rPr>
            </w:pPr>
          </w:p>
        </w:tc>
        <w:tc>
          <w:tcPr>
            <w:tcW w:w="820" w:type="dxa"/>
            <w:vAlign w:val="bottom"/>
            <w:gridSpan w:val="3"/>
            <w:vMerge w:val="continue"/>
            <w:shd w:val="clear" w:color="auto" w:fill="CFF0FC"/>
          </w:tcPr>
          <w:p>
            <w:pPr>
              <w:spacing w:after="0"/>
              <w:rPr>
                <w:sz w:val="9"/>
                <w:szCs w:val="9"/>
                <w:color w:val="auto"/>
              </w:rPr>
            </w:pPr>
          </w:p>
        </w:tc>
        <w:tc>
          <w:tcPr>
            <w:tcW w:w="142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William F. Doyle (3)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48,128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1,514,326</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Jennifer Fox (4)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154,135</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José Ignacio Jiménez Santos (5)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48,128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Alan M. Lotvin (6)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48,128</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1,514,326</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Brian J.G. Pereira, M.D (7)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48,128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1,514,326</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Uma Sinha, Ph.D. (8)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78,128</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Todd Girolamo (9)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1,020,032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81,928</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Ulrich Ernst (10)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All Current Directors and Executive Officers as a Group (11 persons)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(11)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26,790,941</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94,264,948</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Greater-than-Five Percent Holders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093" w:right="359" w:bottom="1440" w:gutter="0" w:footer="0" w:header="0"/>
        </w:sectPr>
      </w:pPr>
    </w:p>
    <w:p>
      <w:pPr>
        <w:spacing w:after="0" w:line="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Tolerantia, LLC (2)(12)</w:t>
      </w:r>
    </w:p>
    <w:p>
      <w:pPr>
        <w:spacing w:after="0" w:line="117" w:lineRule="exact"/>
        <w:rPr>
          <w:sz w:val="20"/>
          <w:szCs w:val="20"/>
          <w:color w:val="auto"/>
        </w:rPr>
      </w:pPr>
    </w:p>
    <w:p>
      <w:pPr>
        <w:ind w:left="360"/>
        <w:spacing w:after="0" w:line="261" w:lineRule="auto"/>
        <w:rPr>
          <w:sz w:val="20"/>
          <w:szCs w:val="20"/>
          <w:color w:val="auto"/>
        </w:rPr>
      </w:pPr>
      <w:r>
        <w:rPr>
          <w:rFonts w:ascii="Times New Roman" w:cs="Times New Roman" w:eastAsia="Times New Roman" w:hAnsi="Times New Roman"/>
          <w:sz w:val="18"/>
          <w:szCs w:val="18"/>
          <w:color w:val="auto"/>
        </w:rPr>
        <w:t>Control Empresarial de Capitales, S.A. de C.V. (formerly Inversora Carso, S.A. de C.V.) (12)(13)</w:t>
      </w:r>
    </w:p>
    <w:p>
      <w:pPr>
        <w:ind w:left="360"/>
        <w:spacing w:after="0"/>
        <w:rPr>
          <w:sz w:val="20"/>
          <w:szCs w:val="20"/>
          <w:color w:val="auto"/>
        </w:rPr>
      </w:pPr>
      <w:r>
        <w:rPr>
          <w:rFonts w:ascii="Times New Roman" w:cs="Times New Roman" w:eastAsia="Times New Roman" w:hAnsi="Times New Roman"/>
          <w:sz w:val="18"/>
          <w:szCs w:val="18"/>
          <w:color w:val="auto"/>
        </w:rPr>
        <w:t>Morgan Stanley Investment Management Inc. (14)</w:t>
      </w:r>
    </w:p>
    <w:p>
      <w:pPr>
        <w:spacing w:after="0" w:line="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Aaron Cowen (15)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40" w:type="dxa"/>
        <w:tblCellMar>
          <w:top w:w="0" w:type="dxa"/>
          <w:left w:w="0" w:type="dxa"/>
          <w:bottom w:w="0" w:type="dxa"/>
          <w:right w:w="0" w:type="dxa"/>
        </w:tblCellMar>
      </w:tblPr>
      <w:tr>
        <w:trPr>
          <w:trHeight w:val="198"/>
        </w:trPr>
        <w:tc>
          <w:tcPr>
            <w:tcW w:w="960" w:type="dxa"/>
            <w:vAlign w:val="bottom"/>
          </w:tcPr>
          <w:p>
            <w:pPr>
              <w:spacing w:after="0"/>
              <w:rPr>
                <w:sz w:val="17"/>
                <w:szCs w:val="17"/>
                <w:color w:val="auto"/>
              </w:rPr>
            </w:pPr>
          </w:p>
        </w:tc>
        <w:tc>
          <w:tcPr>
            <w:tcW w:w="76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17.</w:t>
            </w:r>
          </w:p>
        </w:tc>
        <w:tc>
          <w:tcPr>
            <w:tcW w:w="1160" w:type="dxa"/>
            <w:vAlign w:val="bottom"/>
          </w:tcPr>
          <w:p>
            <w:pPr>
              <w:spacing w:after="0"/>
              <w:rPr>
                <w:sz w:val="17"/>
                <w:szCs w:val="17"/>
                <w:color w:val="auto"/>
              </w:rPr>
            </w:pPr>
          </w:p>
        </w:tc>
        <w:tc>
          <w:tcPr>
            <w:tcW w:w="1020" w:type="dxa"/>
            <w:vAlign w:val="bottom"/>
          </w:tcPr>
          <w:p>
            <w:pPr>
              <w:jc w:val="right"/>
              <w:ind w:right="550"/>
              <w:spacing w:after="0" w:line="198" w:lineRule="exact"/>
              <w:rPr>
                <w:sz w:val="20"/>
                <w:szCs w:val="20"/>
                <w:color w:val="auto"/>
              </w:rPr>
            </w:pPr>
            <w:r>
              <w:rPr>
                <w:rFonts w:ascii="Times New Roman" w:cs="Times New Roman" w:eastAsia="Times New Roman" w:hAnsi="Times New Roman"/>
                <w:sz w:val="18"/>
                <w:szCs w:val="18"/>
                <w:color w:val="auto"/>
              </w:rPr>
              <w:t>54.</w:t>
            </w:r>
          </w:p>
        </w:tc>
        <w:tc>
          <w:tcPr>
            <w:tcW w:w="940" w:type="dxa"/>
            <w:vAlign w:val="bottom"/>
          </w:tcPr>
          <w:p>
            <w:pPr>
              <w:spacing w:after="0"/>
              <w:rPr>
                <w:sz w:val="17"/>
                <w:szCs w:val="17"/>
                <w:color w:val="auto"/>
              </w:rPr>
            </w:pPr>
          </w:p>
        </w:tc>
      </w:tr>
      <w:tr>
        <w:trPr>
          <w:trHeight w:val="216"/>
        </w:trPr>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22,617,909</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5 %</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88,639,961</w:t>
            </w: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w:t>
            </w:r>
          </w:p>
        </w:tc>
      </w:tr>
      <w:tr>
        <w:trPr>
          <w:trHeight w:val="216"/>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38.</w:t>
            </w:r>
          </w:p>
        </w:tc>
        <w:tc>
          <w:tcPr>
            <w:tcW w:w="940" w:type="dxa"/>
            <w:vAlign w:val="bottom"/>
          </w:tcPr>
          <w:p>
            <w:pPr>
              <w:spacing w:after="0"/>
              <w:rPr>
                <w:sz w:val="18"/>
                <w:szCs w:val="18"/>
                <w:color w:val="auto"/>
              </w:rPr>
            </w:pPr>
          </w:p>
        </w:tc>
      </w:tr>
      <w:tr>
        <w:trPr>
          <w:trHeight w:val="216"/>
        </w:trPr>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8,441,462</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6.5 %</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63,118,645</w:t>
            </w: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16"/>
        </w:trPr>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10,775,670</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8.3 %</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16"/>
        </w:trPr>
        <w:tc>
          <w:tcPr>
            <w:tcW w:w="960" w:type="dxa"/>
            <w:vAlign w:val="bottom"/>
          </w:tcPr>
          <w:p>
            <w:pPr>
              <w:spacing w:after="0"/>
              <w:rPr>
                <w:sz w:val="18"/>
                <w:szCs w:val="18"/>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13,198,766</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2 %</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-3260090</wp:posOffset>
            </wp:positionH>
            <wp:positionV relativeFrom="paragraph">
              <wp:posOffset>-685165</wp:posOffset>
            </wp:positionV>
            <wp:extent cx="6703695" cy="274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03695" cy="274320"/>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-273685</wp:posOffset>
            </wp:positionV>
            <wp:extent cx="6703695" cy="274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03695" cy="27432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260"/>
            <w:col w:w="5740"/>
          </w:cols>
          <w:pgMar w:left="320" w:top="1093" w:right="359" w:bottom="1440" w:gutter="0" w:footer="0" w:header="0"/>
          <w:type w:val="continuous"/>
        </w:sectPr>
      </w:pPr>
    </w:p>
    <w:bookmarkStart w:id="121" w:name="page122"/>
    <w:bookmarkEnd w:id="121"/>
    <w:p>
      <w:pPr>
        <w:ind w:left="352" w:hanging="352"/>
        <w:spacing w:after="0"/>
        <w:tabs>
          <w:tab w:leader="none" w:pos="352"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Indicated beneficial ownership of less than 1%.</w:t>
      </w:r>
    </w:p>
    <w:p>
      <w:pPr>
        <w:spacing w:after="0" w:line="27" w:lineRule="exact"/>
        <w:rPr>
          <w:sz w:val="20"/>
          <w:szCs w:val="20"/>
          <w:color w:val="auto"/>
        </w:rPr>
      </w:pPr>
    </w:p>
    <w:p>
      <w:pPr>
        <w:ind w:left="-8" w:right="160" w:firstLine="8"/>
        <w:spacing w:after="0" w:line="260" w:lineRule="auto"/>
        <w:tabs>
          <w:tab w:leader="none" w:pos="307"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Percentage of total voting power represents voting power with respect to all shares of Class A ordinary shares and Class B ordinary shares as a single class. Each share of Class A ordinary shares and Class B ordinary shares is entitled to one vote per share.</w:t>
      </w:r>
    </w:p>
    <w:p>
      <w:pPr>
        <w:spacing w:after="0" w:line="73" w:lineRule="exact"/>
        <w:rPr>
          <w:rFonts w:ascii="Times New Roman" w:cs="Times New Roman" w:eastAsia="Times New Roman" w:hAnsi="Times New Roman"/>
          <w:sz w:val="18"/>
          <w:szCs w:val="18"/>
          <w:color w:val="231F20"/>
        </w:rPr>
      </w:pPr>
    </w:p>
    <w:p>
      <w:pPr>
        <w:ind w:left="1012" w:right="460" w:hanging="503"/>
        <w:spacing w:after="0" w:line="282" w:lineRule="auto"/>
        <w:tabs>
          <w:tab w:leader="none" w:pos="1012" w:val="left"/>
        </w:tabs>
        <w:numPr>
          <w:ilvl w:val="1"/>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Unless otherwise noted, the business address of each of the following entities or individuals is c/o ProKidney Corp., 2000 Frontis Plaza Blvd., Ste 250, Winston-Salem, North Carolina, 27103</w:t>
      </w:r>
    </w:p>
    <w:p>
      <w:pPr>
        <w:spacing w:after="0" w:line="53" w:lineRule="exact"/>
        <w:rPr>
          <w:rFonts w:ascii="Times New Roman" w:cs="Times New Roman" w:eastAsia="Times New Roman" w:hAnsi="Times New Roman"/>
          <w:sz w:val="18"/>
          <w:szCs w:val="18"/>
          <w:color w:val="231F20"/>
        </w:rPr>
      </w:pPr>
    </w:p>
    <w:p>
      <w:pPr>
        <w:ind w:left="1012" w:right="320" w:hanging="503"/>
        <w:spacing w:after="0" w:line="262" w:lineRule="auto"/>
        <w:tabs>
          <w:tab w:leader="none" w:pos="1012" w:val="left"/>
        </w:tabs>
        <w:numPr>
          <w:ilvl w:val="1"/>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This information is based solely on a Schedule 13D/A filed with the SEC on February 6, 2025. Represents 22,666,037 Class A ordinary shares and 88,639,961 Class B ordinary shares held by Tolerantia, LLC (“Tolerantia”), a Delaware limited liability company, which is an affiliate controlled and majority-owned by Mr. Pablo Legorreta. Mr. Legorreta controls the voting and disposition of the shares held by Tolerantia. Mr. Legorreta disclaims beneficial ownership of the shares held by Tolerantia except to the extent of his indirect pecuniary interest therein. The business address of Tolerantia is 110, East 59</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8"/>
          <w:szCs w:val="18"/>
          <w:color w:val="231F20"/>
        </w:rPr>
        <w:t xml:space="preserve"> Street, Suite 2800, New York, New York, 10022.</w:t>
      </w:r>
    </w:p>
    <w:p>
      <w:pPr>
        <w:spacing w:after="0" w:line="9" w:lineRule="exact"/>
        <w:rPr>
          <w:rFonts w:ascii="Times New Roman" w:cs="Times New Roman" w:eastAsia="Times New Roman" w:hAnsi="Times New Roman"/>
          <w:sz w:val="18"/>
          <w:szCs w:val="18"/>
          <w:color w:val="231F20"/>
        </w:rPr>
      </w:pPr>
    </w:p>
    <w:p>
      <w:pPr>
        <w:ind w:left="1012" w:right="20" w:hanging="503"/>
        <w:spacing w:after="0" w:line="282" w:lineRule="auto"/>
        <w:tabs>
          <w:tab w:leader="none" w:pos="1012" w:val="left"/>
        </w:tabs>
        <w:numPr>
          <w:ilvl w:val="1"/>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Includes options to purchase up to 48,128 Class A ordinary shares held by Mr. Doyle that are vested and exercisable or will become vested or exercisable within 60 days of March 17, 2025. Also includes 1,514,326 Class B ordinary shares beneficially owned by Mr. Doyle.</w:t>
      </w:r>
    </w:p>
    <w:p>
      <w:pPr>
        <w:spacing w:after="0" w:line="53" w:lineRule="exact"/>
        <w:rPr>
          <w:rFonts w:ascii="Times New Roman" w:cs="Times New Roman" w:eastAsia="Times New Roman" w:hAnsi="Times New Roman"/>
          <w:sz w:val="18"/>
          <w:szCs w:val="18"/>
          <w:color w:val="231F20"/>
        </w:rPr>
      </w:pPr>
    </w:p>
    <w:p>
      <w:pPr>
        <w:ind w:left="1012" w:right="80" w:hanging="503"/>
        <w:spacing w:after="0" w:line="282" w:lineRule="auto"/>
        <w:tabs>
          <w:tab w:leader="none" w:pos="1012" w:val="left"/>
        </w:tabs>
        <w:numPr>
          <w:ilvl w:val="1"/>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Includes options to purchase up to 154,135 Class A ordinary shares held by Ms. Fox that are vested and exercisable or will become vested or exercisable within 60 days of March 17, 2025.</w:t>
      </w:r>
    </w:p>
    <w:p>
      <w:pPr>
        <w:spacing w:after="0" w:line="53" w:lineRule="exact"/>
        <w:rPr>
          <w:rFonts w:ascii="Times New Roman" w:cs="Times New Roman" w:eastAsia="Times New Roman" w:hAnsi="Times New Roman"/>
          <w:sz w:val="18"/>
          <w:szCs w:val="18"/>
          <w:color w:val="231F20"/>
        </w:rPr>
      </w:pPr>
    </w:p>
    <w:p>
      <w:pPr>
        <w:ind w:left="1012" w:right="40" w:hanging="503"/>
        <w:spacing w:after="0" w:line="282" w:lineRule="auto"/>
        <w:tabs>
          <w:tab w:leader="none" w:pos="1012" w:val="left"/>
        </w:tabs>
        <w:numPr>
          <w:ilvl w:val="1"/>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Includes options to purchase up to 48,128 Class A ordinary shares held by Mr. Jiménez Santos that are vested and exercisable or will become vested or exercisable within 60 days of March 17, 2025.</w:t>
      </w:r>
    </w:p>
    <w:p>
      <w:pPr>
        <w:spacing w:after="0" w:line="53" w:lineRule="exact"/>
        <w:rPr>
          <w:rFonts w:ascii="Times New Roman" w:cs="Times New Roman" w:eastAsia="Times New Roman" w:hAnsi="Times New Roman"/>
          <w:sz w:val="18"/>
          <w:szCs w:val="18"/>
          <w:color w:val="231F20"/>
        </w:rPr>
      </w:pPr>
    </w:p>
    <w:p>
      <w:pPr>
        <w:ind w:left="1012" w:right="160" w:hanging="503"/>
        <w:spacing w:after="0" w:line="282" w:lineRule="auto"/>
        <w:tabs>
          <w:tab w:leader="none" w:pos="1012" w:val="left"/>
        </w:tabs>
        <w:numPr>
          <w:ilvl w:val="1"/>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Includes options to purchase up to 48,128 Class A ordinary shares held by Mr. Lotvin that are vested and exercisable or will become vested or exercisable within 60 days of March 17, 2025. Also includes 1,514,326 Class B ordinary shares beneficially owned by Mr. Lotvin.</w:t>
      </w:r>
    </w:p>
    <w:p>
      <w:pPr>
        <w:spacing w:after="0" w:line="53" w:lineRule="exact"/>
        <w:rPr>
          <w:rFonts w:ascii="Times New Roman" w:cs="Times New Roman" w:eastAsia="Times New Roman" w:hAnsi="Times New Roman"/>
          <w:sz w:val="18"/>
          <w:szCs w:val="18"/>
          <w:color w:val="231F20"/>
        </w:rPr>
      </w:pPr>
    </w:p>
    <w:p>
      <w:pPr>
        <w:ind w:left="1012" w:right="40" w:hanging="503"/>
        <w:spacing w:after="0" w:line="256" w:lineRule="auto"/>
        <w:tabs>
          <w:tab w:leader="none" w:pos="1012" w:val="left"/>
        </w:tabs>
        <w:numPr>
          <w:ilvl w:val="1"/>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Includes options to purchase up to 48,128 Class A ordinary shares held by Mr. Pereira that are vested and exercisable or will become vested or exercisable within 60 days of March 17, 2025. Also includes 163,857 Class B ordinary shares issued as consideration in the Business Combination held by ProKidney Management Equity LLC (“PMEL”) for the benefit of Mr. Pereira. Additionally includes 1,350,469 Class B ordinary shares held by the Brian J.G. Pereira 2012 Irrevocable Trust, for which Sunita Pereira, who is married to Mr. Pereira, serves as Trustee. Mr. Pereira disclaims beneficial ownership of the Class B ordinary shares reported herein except to the extent of any indirect pecuniary interest therein.</w:t>
      </w:r>
    </w:p>
    <w:p>
      <w:pPr>
        <w:spacing w:after="0" w:line="79" w:lineRule="exact"/>
        <w:rPr>
          <w:rFonts w:ascii="Times New Roman" w:cs="Times New Roman" w:eastAsia="Times New Roman" w:hAnsi="Times New Roman"/>
          <w:sz w:val="18"/>
          <w:szCs w:val="18"/>
          <w:color w:val="231F20"/>
        </w:rPr>
      </w:pPr>
    </w:p>
    <w:p>
      <w:pPr>
        <w:ind w:left="1012" w:right="80" w:hanging="503"/>
        <w:spacing w:after="0" w:line="282" w:lineRule="auto"/>
        <w:tabs>
          <w:tab w:leader="none" w:pos="1012" w:val="left"/>
        </w:tabs>
        <w:numPr>
          <w:ilvl w:val="1"/>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Includes 30,000 Class A ordinary shares held by Ms. Sinha, options to purchase up to 48,128 Class A ordinary shares held by Ms. Sinha that are vested and exercisable or will become vested or exercisable within 60 days of March 17, 2025.</w:t>
      </w:r>
    </w:p>
    <w:p>
      <w:pPr>
        <w:spacing w:after="0" w:line="53" w:lineRule="exact"/>
        <w:rPr>
          <w:rFonts w:ascii="Times New Roman" w:cs="Times New Roman" w:eastAsia="Times New Roman" w:hAnsi="Times New Roman"/>
          <w:sz w:val="18"/>
          <w:szCs w:val="18"/>
          <w:color w:val="231F20"/>
        </w:rPr>
      </w:pPr>
    </w:p>
    <w:p>
      <w:pPr>
        <w:ind w:left="1012" w:right="420" w:hanging="503"/>
        <w:spacing w:after="0" w:line="266" w:lineRule="auto"/>
        <w:tabs>
          <w:tab w:leader="none" w:pos="1012" w:val="left"/>
        </w:tabs>
        <w:numPr>
          <w:ilvl w:val="1"/>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Includes 163,856 Class A ordinary shares held by Mr. Girolamo, options to purchase up to 856,176 Class A ordinary shares held by Mr. Girolamo that are vested and exercisable or will become vested and exercisable within 60 days of March 17, 2025 and 81,928 Class B ordinary shares beneficially owned by Mr. Girolamo.</w:t>
      </w:r>
    </w:p>
    <w:p>
      <w:pPr>
        <w:spacing w:after="0" w:line="67" w:lineRule="exact"/>
        <w:rPr>
          <w:rFonts w:ascii="Times New Roman" w:cs="Times New Roman" w:eastAsia="Times New Roman" w:hAnsi="Times New Roman"/>
          <w:sz w:val="18"/>
          <w:szCs w:val="18"/>
          <w:color w:val="231F20"/>
        </w:rPr>
      </w:pPr>
    </w:p>
    <w:p>
      <w:pPr>
        <w:ind w:left="1012" w:right="120" w:hanging="503"/>
        <w:spacing w:after="0" w:line="282" w:lineRule="auto"/>
        <w:tabs>
          <w:tab w:leader="none" w:pos="1012" w:val="left"/>
        </w:tabs>
        <w:numPr>
          <w:ilvl w:val="1"/>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Includes options to purchase up to 82,500 Class A ordinary shares held by Dr. Ernst that are vested and exercisable within 60 days of March 17, 2025.</w:t>
      </w:r>
    </w:p>
    <w:p>
      <w:pPr>
        <w:spacing w:after="0" w:line="53" w:lineRule="exact"/>
        <w:rPr>
          <w:rFonts w:ascii="Times New Roman" w:cs="Times New Roman" w:eastAsia="Times New Roman" w:hAnsi="Times New Roman"/>
          <w:sz w:val="18"/>
          <w:szCs w:val="18"/>
          <w:color w:val="231F20"/>
        </w:rPr>
      </w:pPr>
    </w:p>
    <w:p>
      <w:pPr>
        <w:ind w:left="1012" w:right="40" w:hanging="503"/>
        <w:spacing w:after="0" w:line="266" w:lineRule="auto"/>
        <w:tabs>
          <w:tab w:leader="none" w:pos="1012" w:val="left"/>
        </w:tabs>
        <w:numPr>
          <w:ilvl w:val="1"/>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See footnotes 2 through 9. Also includes 2,143,158 shares held in the aggregate by executive officers other than the named executive officers including Class A ordinary shares held directly, options to purchase Class A ordinary shares that are vested and exercisable or will become vested and exercisable within 60 days of March 17, 2025 and Class B ordinary shares.</w:t>
      </w:r>
    </w:p>
    <w:p>
      <w:pPr>
        <w:spacing w:after="0" w:line="67" w:lineRule="exact"/>
        <w:rPr>
          <w:rFonts w:ascii="Times New Roman" w:cs="Times New Roman" w:eastAsia="Times New Roman" w:hAnsi="Times New Roman"/>
          <w:sz w:val="18"/>
          <w:szCs w:val="18"/>
          <w:color w:val="231F20"/>
        </w:rPr>
      </w:pPr>
    </w:p>
    <w:p>
      <w:pPr>
        <w:ind w:left="1012" w:hanging="503"/>
        <w:spacing w:after="0" w:line="254" w:lineRule="auto"/>
        <w:tabs>
          <w:tab w:leader="none" w:pos="1012" w:val="left"/>
        </w:tabs>
        <w:numPr>
          <w:ilvl w:val="1"/>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This information is based solely on a Schedule 13D filed with the SEC on June 25, 2024. Represents 8,264,462 Class A ordinary shares and 63,118,645 Class B ordinary shares held by Control Empresarial de Capitales, S.A. de C.V. (“CEC”). Members of the Slim family, directly or indirectly, own all of the issued and outstanding voting equity securities of CEC. Therefore, the Slim family may be deemed to beneficially own indirectly the Class B ordinary shares held by CEC. CEC is a sociedad anónima de capital variable organized under the laws of the United Mexican States (“Mexico”). The Slim family has an address of Paseo de las Palmas 736, Colonia Lomas de Chapultepec,</w:t>
      </w:r>
    </w:p>
    <w:p>
      <w:pPr>
        <w:spacing w:after="0" w:line="3" w:lineRule="exact"/>
        <w:rPr>
          <w:rFonts w:ascii="Times New Roman" w:cs="Times New Roman" w:eastAsia="Times New Roman" w:hAnsi="Times New Roman"/>
          <w:sz w:val="18"/>
          <w:szCs w:val="18"/>
          <w:color w:val="231F20"/>
        </w:rPr>
      </w:pPr>
    </w:p>
    <w:p>
      <w:pPr>
        <w:ind w:left="1012" w:right="140"/>
        <w:spacing w:after="0" w:line="260"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11000 Ciudad de Mexico, Mexico and CEC has an address of Paseo de las Palmas 781, Piso 3, Colonia Lomas de Chapultepec, Seccion III, Miguel Hidalgo, Ciudad de Mexico, Mexico, 11000.</w:t>
      </w:r>
    </w:p>
    <w:p>
      <w:pPr>
        <w:spacing w:after="0" w:line="73" w:lineRule="exact"/>
        <w:rPr>
          <w:rFonts w:ascii="Times New Roman" w:cs="Times New Roman" w:eastAsia="Times New Roman" w:hAnsi="Times New Roman"/>
          <w:sz w:val="18"/>
          <w:szCs w:val="18"/>
          <w:color w:val="231F20"/>
        </w:rPr>
      </w:pPr>
    </w:p>
    <w:p>
      <w:pPr>
        <w:ind w:left="1012" w:right="80" w:hanging="503"/>
        <w:spacing w:after="0" w:line="254" w:lineRule="auto"/>
        <w:tabs>
          <w:tab w:leader="none" w:pos="1012" w:val="left"/>
        </w:tabs>
        <w:numPr>
          <w:ilvl w:val="1"/>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February 14, 2022, CEC entered into the Deed of Undertaking (the “Voting Agreement”). The Voting Agreement provides that from the Closing Date (as defined below) until the third anniversary of the Closing (as defined below), CEC shall vote all ordinary shares beneficially held by it in a manner proportionate to the manner in which all other Class B ordinary shares not held by CEC, including the Class B ordinary shares beneficially held by Tolerantia, are voted, with respect to the election, appointment, or removal of any director to the Board. As a result, Tolerantia may be deemed to share beneficial ownership of CEC’s ordinary shares.</w:t>
      </w:r>
    </w:p>
    <w:p>
      <w:pPr>
        <w:spacing w:after="0" w:line="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473075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85" w:right="339" w:bottom="1440" w:gutter="0" w:footer="0" w:header="0"/>
        </w:sectPr>
      </w:pPr>
    </w:p>
    <w:bookmarkStart w:id="122" w:name="page123"/>
    <w:bookmarkEnd w:id="122"/>
    <w:p>
      <w:pPr>
        <w:ind w:left="1020" w:right="120" w:hanging="503"/>
        <w:spacing w:after="0" w:line="258" w:lineRule="auto"/>
        <w:tabs>
          <w:tab w:leader="none" w:pos="1020"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This information is based solely on a Schedule 13G/A filed with the SEC on February 9, 2024. Consists of 10,775,670 Class A ordinary shares beneficially owned by Morgan Stanley, including 10,761,759 Class A ordinary shares beneficially owned by Morgan Stanley Investment Management Inc. Morgan Stanley Investment Management Inc., a wholly-owned subsidiary of Morgan Stanley, may be deemed to own or beneficially own the shares held by Morgan Stanley as a parent holding company. The address of Morgan Stanley is 1585 Broadway New York, NY 10036.</w:t>
      </w:r>
    </w:p>
    <w:p>
      <w:pPr>
        <w:spacing w:after="0" w:line="75" w:lineRule="exact"/>
        <w:rPr>
          <w:rFonts w:ascii="Times New Roman" w:cs="Times New Roman" w:eastAsia="Times New Roman" w:hAnsi="Times New Roman"/>
          <w:sz w:val="18"/>
          <w:szCs w:val="18"/>
          <w:color w:val="231F20"/>
        </w:rPr>
      </w:pPr>
    </w:p>
    <w:p>
      <w:pPr>
        <w:ind w:left="1020" w:hanging="503"/>
        <w:spacing w:after="0" w:line="256" w:lineRule="auto"/>
        <w:tabs>
          <w:tab w:leader="none" w:pos="1020"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This information is based solely on a Schedule 13G/A filed with the SEC on October 22, 2024. Consists of 13,198,766 Class A ordinary shares beneficially owned by Mr. Cowen, including 11,428,937 Class A ordinary shares held by Averill Master Fund, Ltd. (“Averill Fund”). Mr. Cowen may be deemed to control Suvretta Capital Management, LLC, the investment manager of the Averill Fund, and therefore may be deemed to beneficially own the Class A ordinary shares held by the Averill Fund. Mr. Cowen disclaims beneficial ownership of the Class A ordinary shares reported herein except to the extent of any indirect pecuniary interest therein. The address of Mr. Cowen is c/o Suvretta Capital Management, LLC, 540 Madison Avenue, 7th Floor, New York, NY 10022.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certain aggregate information with respect to all of our equity compensation plans in effect as of December 31, 2024:</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(b)</w:t>
            </w:r>
          </w:p>
        </w:tc>
        <w:tc>
          <w:tcPr>
            <w:tcW w:w="300" w:type="dxa"/>
            <w:vAlign w:val="bottom"/>
          </w:tcPr>
          <w:p>
            <w:pPr>
              <w:spacing w:after="0"/>
              <w:rPr>
                <w:sz w:val="17"/>
                <w:szCs w:val="17"/>
                <w:color w:val="auto"/>
              </w:rPr>
            </w:pPr>
          </w:p>
        </w:tc>
        <w:tc>
          <w:tcPr>
            <w:tcW w:w="124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(c)</w:t>
            </w:r>
          </w:p>
        </w:tc>
        <w:tc>
          <w:tcPr>
            <w:tcW w:w="220" w:type="dxa"/>
            <w:vAlign w:val="bottom"/>
          </w:tcPr>
          <w:p>
            <w:pPr>
              <w:spacing w:after="0"/>
              <w:rPr>
                <w:sz w:val="17"/>
                <w:szCs w:val="17"/>
                <w:color w:val="auto"/>
              </w:rPr>
            </w:pPr>
          </w:p>
        </w:tc>
      </w:tr>
      <w:tr>
        <w:trPr>
          <w:trHeight w:val="216"/>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22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22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c>
          <w:tcPr>
            <w:tcW w:w="22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 issuance</w:t>
            </w:r>
          </w:p>
        </w:tc>
        <w:tc>
          <w:tcPr>
            <w:tcW w:w="22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22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2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4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plans</w:t>
            </w:r>
          </w:p>
        </w:tc>
        <w:tc>
          <w:tcPr>
            <w:tcW w:w="22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4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of outstanding</w:t>
            </w:r>
          </w:p>
        </w:tc>
        <w:tc>
          <w:tcPr>
            <w:tcW w:w="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22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22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4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c>
          <w:tcPr>
            <w:tcW w:w="220" w:type="dxa"/>
            <w:vAlign w:val="bottom"/>
          </w:tcPr>
          <w:p>
            <w:pPr>
              <w:spacing w:after="0"/>
              <w:rPr>
                <w:sz w:val="18"/>
                <w:szCs w:val="18"/>
                <w:color w:val="auto"/>
              </w:rPr>
            </w:pPr>
          </w:p>
        </w:tc>
      </w:tr>
      <w:tr>
        <w:trPr>
          <w:trHeight w:val="238"/>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6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3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w:t>
            </w:r>
          </w:p>
        </w:tc>
        <w:tc>
          <w:tcPr>
            <w:tcW w:w="220" w:type="dxa"/>
            <w:vAlign w:val="bottom"/>
          </w:tcPr>
          <w:p>
            <w:pPr>
              <w:spacing w:after="0"/>
              <w:rPr>
                <w:sz w:val="20"/>
                <w:szCs w:val="20"/>
                <w:color w:val="auto"/>
              </w:rPr>
            </w:pPr>
          </w:p>
        </w:tc>
      </w:tr>
      <w:tr>
        <w:trPr>
          <w:trHeight w:val="191"/>
        </w:trPr>
        <w:tc>
          <w:tcPr>
            <w:tcW w:w="5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0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spacing w:after="0"/>
              <w:rPr>
                <w:sz w:val="16"/>
                <w:szCs w:val="16"/>
                <w:color w:val="auto"/>
              </w:rPr>
            </w:pPr>
          </w:p>
        </w:tc>
        <w:tc>
          <w:tcPr>
            <w:tcW w:w="22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58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21,449,920</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25,949,342</w:t>
            </w: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3,565,753</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191"/>
        </w:trPr>
        <w:tc>
          <w:tcPr>
            <w:tcW w:w="5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58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25,015,673</w:t>
            </w: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25,949,342</w:t>
            </w: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90" w:lineRule="exact"/>
        <w:rPr>
          <w:sz w:val="20"/>
          <w:szCs w:val="20"/>
          <w:color w:val="auto"/>
        </w:rPr>
      </w:pPr>
    </w:p>
    <w:p>
      <w:pPr>
        <w:ind w:left="1020" w:right="300" w:hanging="503"/>
        <w:spacing w:after="0" w:line="282" w:lineRule="auto"/>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21,449,920 Class A ordinary shares under the Company’s 2022 Incentive Equity Plan (“2022 Plan”) as of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weighted-average exercise price of options to purchase Class A ordinary shares outstanding at December 31, 2024.</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21,118,536 Class A ordinary shares reserved under the 2022 Plan as of December 31, 2024 and (ii) 4,830,806 Class A ordinary shares reserved under the Company’s Employee Stock Purchase Plan (the “ESPP”). The Company does not currently grant awards under the ESPP.</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Class B ordinary shares issuable upon the vesting of restricted common units of ProKidney LP held by PMEL.</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56" w:lineRule="auto"/>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Plan has an evergreen provision that allows for an annual increase in the number of shares available for issuance under the 2022 Plan to be added on the first day of each fiscal year, beginning in fiscal year 2023 and ending on the second day of fiscal year 2032. The evergreen provides for an automatic increase in the number of shares available for issuance equal to the lesser of (i) 5% of the number of outstanding ProKidney Class A ordinary shares on the last day of the immediately preceding fiscal year on a fully diluted basis and (ii) an amount determined by the Talent and Compensation Committee. This total does not reflect the automatic increase in the number of shares available for issuance under the 2022 Plan that was effective on January 1, 2025 pursuant the evergreen provision.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21" w:lineRule="exact"/>
        <w:rPr>
          <w:sz w:val="20"/>
          <w:szCs w:val="20"/>
          <w:color w:val="auto"/>
        </w:rPr>
      </w:pPr>
    </w:p>
    <w:p>
      <w:pPr>
        <w:ind w:right="280" w:firstLine="524"/>
        <w:spacing w:after="0" w:line="261" w:lineRule="auto"/>
        <w:rPr>
          <w:sz w:val="20"/>
          <w:szCs w:val="20"/>
          <w:color w:val="auto"/>
        </w:rPr>
      </w:pPr>
      <w:r>
        <w:rPr>
          <w:rFonts w:ascii="Times New Roman" w:cs="Times New Roman" w:eastAsia="Times New Roman" w:hAnsi="Times New Roman"/>
          <w:sz w:val="18"/>
          <w:szCs w:val="18"/>
          <w:color w:val="auto"/>
        </w:rPr>
        <w:t>On the Closing Date, the Company entered into an exchange agreement (the “Exchange Agreement”) with PKLP and certain Closing ProKidney Unitholders (as defined in the Exchange Agreement) pursuant to which, subject to the procedures and restrictions</w:t>
      </w: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3" w:name="page124"/>
    <w:bookmarkEnd w:id="123"/>
    <w:p>
      <w:pPr>
        <w:spacing w:after="0" w:line="253" w:lineRule="auto"/>
        <w:rPr>
          <w:sz w:val="20"/>
          <w:szCs w:val="20"/>
          <w:color w:val="auto"/>
        </w:rPr>
      </w:pPr>
      <w:r>
        <w:rPr>
          <w:rFonts w:ascii="Times New Roman" w:cs="Times New Roman" w:eastAsia="Times New Roman" w:hAnsi="Times New Roman"/>
          <w:sz w:val="18"/>
          <w:szCs w:val="18"/>
          <w:color w:val="auto"/>
        </w:rPr>
        <w:t>therein, from and after the waiver or expiration of any contractual lock-up period (including pursuant to the Lock-Up Agreement (as defined below) the holders of Post-Combination ProKidney Common Units (or certain permitted transferees thereof) will have the right from time to time at and after 180 days following the Closing to exchange their Post-Combination ProKidney Common Units and an equal number of Class B ordinary shares of the Company on a one-for-one basis for Class A ordinary shares of the Company (the “Exchange”); provided, that, subject to certain exceptions, the Company, at its sole election, subject to certain restrictions, may, other than in the case of certain secondary offerings, instead settle all or a portion of the Exchange in cash based on a volume weighted average price (“VWAP”) of a Class A ordinary share. The Exchange Agreement provides that, as a general matter, a holder of Post-Combination ProKidney Common Units will not have the right to exchange Post-Combination ProKidney Common Units if the Company determines that such exchange would be prohibited by law or regulation or would violate other agreements with the Company and its subsidiaries to which the holder of Post-Combination ProKidney Common Units may be subject, including the Second Amended and Restated ProKidney Limited Partnership Agreement and the Exchange Agreement.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121" w:lineRule="exact"/>
        <w:rPr>
          <w:sz w:val="20"/>
          <w:szCs w:val="20"/>
          <w:color w:val="auto"/>
        </w:rPr>
      </w:pPr>
    </w:p>
    <w:p>
      <w:pPr>
        <w:ind w:right="20" w:firstLine="524"/>
        <w:spacing w:after="0" w:line="252" w:lineRule="auto"/>
        <w:rPr>
          <w:sz w:val="20"/>
          <w:szCs w:val="20"/>
          <w:color w:val="auto"/>
        </w:rPr>
      </w:pPr>
      <w:r>
        <w:rPr>
          <w:rFonts w:ascii="Times New Roman" w:cs="Times New Roman" w:eastAsia="Times New Roman" w:hAnsi="Times New Roman"/>
          <w:sz w:val="18"/>
          <w:szCs w:val="18"/>
          <w:color w:val="auto"/>
        </w:rPr>
        <w:t>On the Closing Date, the Company, SCS Sponsor III LLC and certain Closing ProKidney Unitholders entered into a lock-up agreement (the “Lock-Up Agreement”). The Lock-Up Agreement contains certain restrictions on transfer with respect to the SCS Sponsor III LLC and the Closing ProKidney Unitholders party thereto. Such restrictions began at the Closing and would end on the earlier of (i) the date that is 180 days after the Closing and (ii)(a) for 33% of the Lock-Up Shares (other than the Earnout Shares and the PIPE Shares), the date on which the last reported sale price of a Class A ordinary share of the Company equals or exceeds $12.50 per share for any 20 trading days within any 30-trading day period commencing at least 30 days after the Closing and (b) for an additional 50% of the Lock-Up Shares (other than the Earnout Shares and the Private Placement Shares (as each such term is defined in the Lock-Up Agreement)), the date on which the last reported sale price of a Class A ordinary share of the Company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PKLP receives notice of any regulatory market authorization, including full or conditional authorization, to market its lead product candidate, Renal Autologous Cell Therapy (but, in any event, not earlier than 180 days following the Closing or (in the case of Earnout Shares) the date of issuance); and (iii) the lock-up period for the Private Placement Shares expired 30 days after the Closing. The restrictions on transfer set forth in the Lockup Agreement are subject to customary exceptions.</w:t>
      </w:r>
    </w:p>
    <w:p>
      <w:pPr>
        <w:spacing w:after="0" w:line="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During January 2023, the lock-up period for 50% of the shares held by the Closing ProKidney Unitholders (other than the Earnout Shares) expired.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ind w:firstLine="524"/>
        <w:spacing w:after="0" w:line="258" w:lineRule="auto"/>
        <w:rPr>
          <w:sz w:val="20"/>
          <w:szCs w:val="20"/>
          <w:color w:val="auto"/>
        </w:rPr>
      </w:pPr>
      <w:r>
        <w:rPr>
          <w:rFonts w:ascii="Times New Roman" w:cs="Times New Roman" w:eastAsia="Times New Roman" w:hAnsi="Times New Roman"/>
          <w:sz w:val="18"/>
          <w:szCs w:val="18"/>
          <w:color w:val="auto"/>
        </w:rPr>
        <w:t>On the Closing Date, the Company entered into a tax receivable agreement (the “Tax Receivable Agreement”) with the Closing ProKidney Unitholders. Pursuant to the Tax Receivable Agreement, among other things, the Company will be required to pay the Closing ProKidney Unitholders party thereto 85% of certain tax savings recognized by the Company, if any, as a result of the increases in tax basis attributable to exchanges by the Closing ProKidney Unitholders of Post-Combination ProKidney Common Units for Class A ordinary shares of the Company or, subject to certain restrictions, cash, pursuant to the Exchange Agreement and certain other tax attributes of PKLP and tax benefits related to entering into the Tax Receivable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Rights</w:t>
      </w:r>
    </w:p>
    <w:p>
      <w:pPr>
        <w:spacing w:after="0" w:line="121" w:lineRule="exact"/>
        <w:rPr>
          <w:sz w:val="20"/>
          <w:szCs w:val="20"/>
          <w:color w:val="auto"/>
        </w:rPr>
      </w:pPr>
    </w:p>
    <w:p>
      <w:pPr>
        <w:ind w:right="100" w:firstLine="524"/>
        <w:spacing w:after="0" w:line="258" w:lineRule="auto"/>
        <w:rPr>
          <w:sz w:val="20"/>
          <w:szCs w:val="20"/>
          <w:color w:val="auto"/>
        </w:rPr>
      </w:pPr>
      <w:r>
        <w:rPr>
          <w:rFonts w:ascii="Times New Roman" w:cs="Times New Roman" w:eastAsia="Times New Roman" w:hAnsi="Times New Roman"/>
          <w:sz w:val="18"/>
          <w:szCs w:val="18"/>
          <w:color w:val="auto"/>
        </w:rPr>
        <w:t>At the Closing, certain shareholders were issued an aggregate of 17,500,000 Earnout Restricted Common Units and 17,500,000 Earnout Restricted Stock Rights (collectively, the “Earnout Rights”). The Earnout Rights vest in three equal tranches if, during the five-year period after Closing, the VWAP of a Class A ordinary share reaches $15.00 per share, $20.00 per share and $25.00 per share. Likewise, the Earnout Rights will vest upon a change of control with a per share price exceeding the those same VWAP thresholds within a five-year period immediately following the Closing. Upon vesting, the Earnout Rights will automatically convert into Post Combination ProKidney Common Units and Class B ordinary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Debt</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January 18, 2022, in connection with the execution of the Business Combination Agreement, the Company entered into the Promissory Notes. Through such promissory notes, the holders could fund up to $100,000,000 to support the operational financing needs of the Company prior to the Closing. These notes bore interest at a rate of 3% per annum and were due upon the earliest of either (i) the date on which the Business Combination closed or (ii) January 17, 2023.</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Drawdowns on the Promissory Notes could be made in multiples of $10,000 unless otherwise agreed upon. Once an amount was drawn down under the Promissory Notes, it was no longer available for future drawdown requests even if prepaid.</w:t>
      </w: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4" w:name="page125"/>
    <w:bookmarkEnd w:id="124"/>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borrowed $35,000,000 under the Promissory Notes. During the year ended December 31, 2022, the Company recognized interest expense of $207,000, respectively related to the Promissory Notes. The amounts due under the Promissory Notes were paid, and the Promissory Notes were effectively terminated upon the Closing.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Services Agreement between ProKidney-KY and Nefro Health</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1, 2020, ProKidney-KY (formerly known as inRegen) entered into a consulting services agreement with Nefro Health (“Nefro”), an Irish partnership controlled and majority-owned by Mr. Pablo Legorreta, a director of the Company, pursuant to which Nefro provides consulting services for the research and development of the Company’s product candidates, including the conduct of clinical trials in North America and the European Union, the design and manufacturing of ProKidney’s product candidates as well as pre-commercialization activities. Under the agreement, Nefro receives $25,000 per quarter and is reimbursed for any out-of-pocket expenses incurred in connection with activities Nefro conducted under the agreement. ProKidney-KY has paid Nefro an aggregate of $100,000 for each of the years ended December 31, 2024, 2023 and 2022.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ProKidney-KY will be obligated to pay Nefro any earned but unpaid consulting fee as of the termination date.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Services Agreement between ProKidney-US and Nefro Health</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1, 2020, ProKidney-US (formerly known as Twin City Bio, LLC) entered into a consulting services agreement with Nefro, pursuant to which Nefro provides consulting services for the research and development of the Company’s product candidates, including the conduct of clinical trials in North America and the European Union, the design and manufacturing of the Company’s product candidates as well as pre-commercialization activities. Under the agreement, Nefro receives $25,000 per quarter and is reimbursed for any out-of-pocket expenses incurred in connection with activities Nefro conducted under the agreement. ProKidney-US has paid Nefro an aggregate of $100,000 for each of the years ended December 31, 2024, 2023 and 2022.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w:t>
      </w:r>
    </w:p>
    <w:p>
      <w:pPr>
        <w:spacing w:after="0" w:line="3" w:lineRule="exact"/>
        <w:rPr>
          <w:sz w:val="20"/>
          <w:szCs w:val="20"/>
          <w:color w:val="auto"/>
        </w:rPr>
      </w:pPr>
    </w:p>
    <w:p>
      <w:pPr>
        <w:ind w:right="60" w:firstLine="8"/>
        <w:spacing w:after="0" w:line="253" w:lineRule="auto"/>
        <w:tabs>
          <w:tab w:leader="none" w:pos="34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ProKidney-US will be obligated to pay Nefro any earned but unpaid consulting fee as of the termination date.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have entered into customary indemnification agreements with our executive officers and directors that provide, in general, that we will provide them with customary indemnification in connection with their service to us or on our behalf.</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These indemnification agreements require us, among other things, to indemnify our directors and officers against liabilities that may arise by reason of their status or service as directors or officers, other than liabilities arising from willful misconduct. These indemnification agreements also require us to advance any expenses incurred by the directors or officers as a result of any proceeding against them as to which they could be indemnified and to obtain directors’ and officers’ insurance, if available on reasonable terms.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have adopted a written related person transaction policy that sets forth the following policies and procedures for the review and approval or ratification of related person transactions.</w:t>
      </w:r>
    </w:p>
    <w:p>
      <w:pPr>
        <w:spacing w:after="0" w:line="5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the Company or any of its subsidiaries was, is or will be a participant, the amount of which involved exceeds the lesser of (i) $120,000, and (ii) one percent of the average of the Company’s total assets at year end for the last two completed fiscal years,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Notwithstanding anything to the contrary herein, (i) any election by the Company pursuant to the Exchange Agreement to deliver any</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25" w:name="page126"/>
    <w:bookmarkEnd w:id="125"/>
    <w:p>
      <w:pPr>
        <w:ind w:right="480"/>
        <w:spacing w:after="0" w:line="282" w:lineRule="auto"/>
        <w:rPr>
          <w:sz w:val="20"/>
          <w:szCs w:val="20"/>
          <w:color w:val="auto"/>
        </w:rPr>
      </w:pPr>
      <w:r>
        <w:rPr>
          <w:rFonts w:ascii="Times New Roman" w:cs="Times New Roman" w:eastAsia="Times New Roman" w:hAnsi="Times New Roman"/>
          <w:sz w:val="18"/>
          <w:szCs w:val="18"/>
          <w:color w:val="auto"/>
        </w:rPr>
        <w:t>Cash Exchange Notice or make any Cash Exchange Payment (as such terms are defined in the Exchange Agreement) with any Related Person or any affiliate of any Related Person and (ii) any material amendment to the Exchange Agreement, are deemed to be related person transactions.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“Related Person” is:</w:t>
      </w:r>
    </w:p>
    <w:p>
      <w:pPr>
        <w:spacing w:after="0" w:line="117" w:lineRule="exact"/>
        <w:rPr>
          <w:sz w:val="20"/>
          <w:szCs w:val="20"/>
          <w:color w:val="auto"/>
        </w:rPr>
      </w:pPr>
    </w:p>
    <w:p>
      <w:pPr>
        <w:ind w:left="1020" w:right="78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was an executive officer, director, or director nominee of the Company at any time since the beginning of the Company’s last fiscal year;</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is or was an Immediate Family Member (as defined below) of an executive officer, director, director nominee at any time since the beginning of the Company’s last fiscal year;</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at the time of the occurrence or existence of the transaction, is the beneficial owner of more than 5% of any class of the Company’s voting securities (a “Significant Stockholder”); or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at the time of the occurrence or existence of the transaction, is an Immediate Family Member of a Significant Stockholder of the Company.</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spacing w:after="0" w:line="5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has implemented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Under the related person transaction policy, any related person transaction will be reviewed and approved by the audit committee prior to effectiveness or consummation of the transaction, whenever practicable, and if advance approval is not practicable under the circumstances, ratified by the audit committee at its next meeting. Alternatively, a related person transaction arising in the time period between meetings of the audit committee may be presented to the chairperson of the audit committee, who shall review and may approve the related person transaction, subject to ratification by the audit committee at the next meeting of the audit committee.</w:t>
      </w:r>
    </w:p>
    <w:p>
      <w:pPr>
        <w:spacing w:after="0" w:line="7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To identify related person transactions in advance, we expect to rely on information supplied by our executive officers, directors and certain significant stockholders. In considering related person transactions, our audit committee is expected to take into account the relevant available facts and circumstances, which may include, but are not limited to:</w:t>
      </w:r>
    </w:p>
    <w:p>
      <w:pPr>
        <w:spacing w:after="0" w:line="68" w:lineRule="exact"/>
        <w:rPr>
          <w:sz w:val="20"/>
          <w:szCs w:val="20"/>
          <w:color w:val="auto"/>
        </w:rPr>
      </w:pPr>
    </w:p>
    <w:p>
      <w:pPr>
        <w:ind w:left="1020" w:hanging="503"/>
        <w:spacing w:after="0"/>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transaction;</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business of the Company;</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with the related person is proposed to be, or was, entered into on terms no less favorable to the Company than terms that could have been reached with an unrelated third party;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the Company of, the transaction; and</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54" w:lineRule="exact"/>
        <w:rPr>
          <w:sz w:val="20"/>
          <w:szCs w:val="20"/>
          <w:color w:val="auto"/>
        </w:rPr>
      </w:pPr>
    </w:p>
    <w:p>
      <w:pPr>
        <w:ind w:right="780" w:firstLine="509"/>
        <w:spacing w:after="0" w:line="375" w:lineRule="auto"/>
        <w:rPr>
          <w:sz w:val="20"/>
          <w:szCs w:val="20"/>
          <w:color w:val="auto"/>
        </w:rPr>
      </w:pPr>
      <w:r>
        <w:rPr>
          <w:rFonts w:ascii="Times New Roman" w:cs="Times New Roman" w:eastAsia="Times New Roman" w:hAnsi="Times New Roman"/>
          <w:sz w:val="18"/>
          <w:szCs w:val="18"/>
          <w:color w:val="auto"/>
        </w:rPr>
        <w:t xml:space="preserve">The Audit Committee will approve only those transactions that it determines are fair to the Company and in the Company’s best interests. </w:t>
      </w:r>
      <w:r>
        <w:rPr>
          <w:rFonts w:ascii="Times New Roman" w:cs="Times New Roman" w:eastAsia="Times New Roman" w:hAnsi="Times New Roman"/>
          <w:sz w:val="18"/>
          <w:szCs w:val="18"/>
          <w:b w:val="1"/>
          <w:bCs w:val="1"/>
          <w:color w:val="auto"/>
        </w:rPr>
        <w:t>Director Independence</w:t>
      </w:r>
    </w:p>
    <w:p>
      <w:pPr>
        <w:spacing w:after="0" w:line="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 “independent director” is defined generally as a person who has no material relationship with the listed company (either directly or as a partner, shareholder or officer of an organization that has a relationship with the company). The Board has reviewed the materiality of any relationship that each of our directors has with ProKidney Corp., either directly or indirectly. Based upon this review, the Board has determined that each of William F. Doyle, Alan M. Lotvin, M.D., Brian J. G. Pereira, M.D., Uma Sinha, Ph.D, José Ignacio Jiménez Santos and Jennifer Fox is an independent director under applicable SEC and the Nasdaq Stock Market LLC listing Nasdaq rules. The independent directors have regularly scheduled meetings at which only independent directors are present.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Fees</w:t>
      </w:r>
    </w:p>
    <w:p>
      <w:pPr>
        <w:spacing w:after="0" w:line="121" w:lineRule="exact"/>
        <w:rPr>
          <w:sz w:val="20"/>
          <w:szCs w:val="20"/>
          <w:color w:val="auto"/>
        </w:rPr>
      </w:pPr>
    </w:p>
    <w:p>
      <w:pPr>
        <w:ind w:right="360" w:firstLine="509"/>
        <w:spacing w:after="0" w:line="313" w:lineRule="auto"/>
        <w:rPr>
          <w:sz w:val="20"/>
          <w:szCs w:val="20"/>
          <w:color w:val="auto"/>
        </w:rPr>
      </w:pPr>
      <w:r>
        <w:rPr>
          <w:rFonts w:ascii="Times New Roman" w:cs="Times New Roman" w:eastAsia="Times New Roman" w:hAnsi="Times New Roman"/>
          <w:sz w:val="18"/>
          <w:szCs w:val="18"/>
          <w:color w:val="auto"/>
        </w:rPr>
        <w:t>The following table summarizes the aggregate fees billed for professional services rendered by Ernst &amp; Young LLP to us in 2024 and 2023. A description of these various fees and services follows the table (in thousands).</w:t>
      </w:r>
    </w:p>
    <w:p>
      <w:pPr>
        <w:spacing w:after="0" w:line="200" w:lineRule="exact"/>
        <w:rPr>
          <w:sz w:val="20"/>
          <w:szCs w:val="20"/>
          <w:color w:val="auto"/>
        </w:rPr>
      </w:pPr>
    </w:p>
    <w:p>
      <w:pPr>
        <w:spacing w:after="0" w:line="307" w:lineRule="exact"/>
        <w:rPr>
          <w:sz w:val="20"/>
          <w:szCs w:val="20"/>
          <w:color w:val="auto"/>
        </w:rPr>
      </w:pPr>
    </w:p>
    <w:tbl>
      <w:tblPr>
        <w:tblLayout w:type="fixed"/>
        <w:tblInd w:w="1360" w:type="dxa"/>
        <w:tblCellMar>
          <w:top w:w="0" w:type="dxa"/>
          <w:left w:w="0" w:type="dxa"/>
          <w:bottom w:w="0" w:type="dxa"/>
          <w:right w:w="0" w:type="dxa"/>
        </w:tblCellMar>
      </w:tblPr>
      <w:tr>
        <w:trPr>
          <w:trHeight w:val="17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34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3"/>
        </w:trPr>
        <w:tc>
          <w:tcPr>
            <w:tcW w:w="636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Audit Fees (1)</w:t>
            </w:r>
          </w:p>
        </w:tc>
        <w:tc>
          <w:tcPr>
            <w:tcW w:w="38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721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1,502</w:t>
            </w:r>
          </w:p>
        </w:tc>
        <w:tc>
          <w:tcPr>
            <w:tcW w:w="80" w:type="dxa"/>
            <w:vAlign w:val="bottom"/>
            <w:shd w:val="clear" w:color="auto" w:fill="CCEEFF"/>
          </w:tcPr>
          <w:p>
            <w:pPr>
              <w:spacing w:after="0"/>
              <w:rPr>
                <w:sz w:val="17"/>
                <w:szCs w:val="17"/>
                <w:color w:val="auto"/>
              </w:rPr>
            </w:pPr>
          </w:p>
        </w:tc>
      </w:tr>
      <w:tr>
        <w:trPr>
          <w:trHeight w:val="21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 (2)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8"/>
                <w:szCs w:val="18"/>
                <w:color w:val="auto"/>
              </w:rPr>
            </w:pPr>
          </w:p>
        </w:tc>
      </w:tr>
      <w:tr>
        <w:trPr>
          <w:trHeight w:val="23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 Fees (3)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-579755</wp:posOffset>
            </wp:positionV>
            <wp:extent cx="51435" cy="11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1143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-579755</wp:posOffset>
            </wp:positionV>
            <wp:extent cx="51435" cy="11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11430"/>
                    </a:xfrm>
                    <a:prstGeom prst="rect">
                      <a:avLst/>
                    </a:prstGeom>
                    <a:noFill/>
                  </pic:spPr>
                </pic:pic>
              </a:graphicData>
            </a:graphic>
          </wp:anchor>
        </w:drawing>
      </w:r>
    </w:p>
    <w:p>
      <w:pPr>
        <w:spacing w:after="0" w:line="51" w:lineRule="exact"/>
        <w:rPr>
          <w:sz w:val="20"/>
          <w:szCs w:val="20"/>
          <w:color w:val="auto"/>
        </w:rPr>
      </w:pPr>
    </w:p>
    <w:p>
      <w:pPr>
        <w:ind w:left="1020" w:hanging="503"/>
        <w:spacing w:after="0" w:line="266"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This category represents fees for professional services provided in connection with the audit of our financial statements, review of our quarterly financial statements, and audit services pertaining to other regulatory filings such as our proxy statements and registration statements.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This category consists of tax compliance, tax planning and tax advice.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This category consists of fees for permitted services other than the services reported in audit fees and tax fees.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Public Accountant</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Audit Committee has adopted a policy for the pre-approval of all audits and permitted non-audit services that may be performed by our independent registered public accounting firm. Under the policy, the Audit Committee must give prior approval for any amount or type of service within four categories—audit, audit-related, tax services or, to the extent permitted by law, other services—that the independent auditor provides. Prior to the annual engagement, the Audit Committee may grant general pre-approval for independent auditor services within these four categories. During the year, circumstances may arise when it may become necessary to engage the independent auditor for additional services not contemplated in the original pre-approval and, in those instances, such service will require separate pre-approval by the Audit Committee if it is to be provided by the independent auditor. For any pre-approval, the Audit Committee will consider whether such services are consistent with the SEC’s rules on auditor independence, whether the auditor is best positioned to provide the most cost-effective and efficient service and whether the service might enhance our ability to manage or control risk or improve audit quality. The Audit Committee may delegate to one or more of its members authority to approve a request for pre-approval, provided the member reports any approval so given to the Audit Committee at its next scheduled meeting. All fees incurred subsequent to our IPO were pre-approved by the Audit Committee.</w:t>
      </w:r>
    </w:p>
    <w:p>
      <w:pPr>
        <w:spacing w:after="0" w:line="1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5" w:right="459" w:bottom="1440" w:gutter="0" w:footer="0" w:header="0"/>
        </w:sectPr>
      </w:pPr>
    </w:p>
    <w:bookmarkStart w:id="127" w:name="page128"/>
    <w:bookmarkEnd w:id="127"/>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56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w:t>
            </w:r>
          </w:p>
        </w:tc>
        <w:tc>
          <w:tcPr>
            <w:tcW w:w="5120" w:type="dxa"/>
            <w:vAlign w:val="bottom"/>
            <w:gridSpan w:val="13"/>
          </w:tcPr>
          <w:p>
            <w:pPr>
              <w:ind w:left="220"/>
              <w:spacing w:after="0"/>
              <w:rPr>
                <w:sz w:val="20"/>
                <w:szCs w:val="20"/>
                <w:color w:val="auto"/>
              </w:rPr>
            </w:pPr>
            <w:r>
              <w:rPr>
                <w:rFonts w:ascii="Times New Roman" w:cs="Times New Roman" w:eastAsia="Times New Roman" w:hAnsi="Times New Roman"/>
                <w:sz w:val="18"/>
                <w:szCs w:val="18"/>
                <w:color w:val="auto"/>
              </w:rPr>
              <w:t>Financial Statements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4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auto"/>
              </w:rPr>
              <w:t>The following documents are included on pages F-1 through F-26 attached hereto and are filed as part of this Annual Report on Form 10-K:</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240" w:type="dxa"/>
            <w:vAlign w:val="bottom"/>
            <w:tcBorders>
              <w:bottom w:val="single" w:sz="8" w:color="0000FF"/>
            </w:tcBorders>
            <w:gridSpan w:val="12"/>
          </w:tcPr>
          <w:p>
            <w:pPr>
              <w:ind w:left="20"/>
              <w:spacing w:after="0" w:line="194"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20" w:type="dxa"/>
            <w:vAlign w:val="bottom"/>
            <w:tcBorders>
              <w:bottom w:val="single" w:sz="8" w:color="0000EE"/>
            </w:tcBorders>
          </w:tcPr>
          <w:p>
            <w:pPr>
              <w:spacing w:after="0"/>
              <w:rPr>
                <w:sz w:val="16"/>
                <w:szCs w:val="16"/>
                <w:color w:val="auto"/>
              </w:rPr>
            </w:pPr>
          </w:p>
        </w:tc>
        <w:tc>
          <w:tcPr>
            <w:tcW w:w="1360" w:type="dxa"/>
            <w:vAlign w:val="bottom"/>
            <w:gridSpan w:val="2"/>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gridSpan w:val="8"/>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63"/>
        </w:trPr>
        <w:tc>
          <w:tcPr>
            <w:tcW w:w="562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1100" w:type="dxa"/>
            <w:vAlign w:val="bottom"/>
            <w:tcBorders>
              <w:left w:val="single" w:sz="8" w:color="0000EE"/>
            </w:tcBorders>
            <w:gridSpan w:val="5"/>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920" w:type="dxa"/>
            <w:vAlign w:val="bottom"/>
            <w:tcBorders>
              <w:bottom w:val="single" w:sz="8" w:color="0000FF"/>
            </w:tcBorders>
            <w:gridSpan w:val="19"/>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2024, 2023, and 2022</w:t>
            </w:r>
          </w:p>
        </w:tc>
        <w:tc>
          <w:tcPr>
            <w:tcW w:w="3920" w:type="dxa"/>
            <w:vAlign w:val="bottom"/>
            <w:gridSpan w:val="14"/>
          </w:tcPr>
          <w:p>
            <w:pPr>
              <w:spacing w:after="0"/>
              <w:rPr>
                <w:sz w:val="22"/>
                <w:szCs w:val="22"/>
                <w:color w:val="auto"/>
              </w:rPr>
            </w:pPr>
          </w:p>
        </w:tc>
        <w:tc>
          <w:tcPr>
            <w:tcW w:w="4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63"/>
        </w:trPr>
        <w:tc>
          <w:tcPr>
            <w:tcW w:w="7660" w:type="dxa"/>
            <w:vAlign w:val="bottom"/>
            <w:tcBorders>
              <w:bottom w:val="single" w:sz="8" w:color="0000FF"/>
            </w:tcBorders>
            <w:gridSpan w:val="2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for the years ended December 31, 2024, 2023, and 2022</w:t>
            </w:r>
          </w:p>
        </w:tc>
        <w:tc>
          <w:tcPr>
            <w:tcW w:w="20" w:type="dxa"/>
            <w:vAlign w:val="bottom"/>
            <w:tcBorders>
              <w:bottom w:val="single" w:sz="8" w:color="0000EE"/>
            </w:tcBorders>
          </w:tcPr>
          <w:p>
            <w:pPr>
              <w:spacing w:after="0"/>
              <w:rPr>
                <w:sz w:val="22"/>
                <w:szCs w:val="22"/>
                <w:color w:val="auto"/>
              </w:rPr>
            </w:pPr>
          </w:p>
        </w:tc>
        <w:tc>
          <w:tcPr>
            <w:tcW w:w="3160" w:type="dxa"/>
            <w:vAlign w:val="bottom"/>
            <w:gridSpan w:val="10"/>
          </w:tcPr>
          <w:p>
            <w:pPr>
              <w:spacing w:after="0"/>
              <w:rPr>
                <w:sz w:val="22"/>
                <w:szCs w:val="22"/>
                <w:color w:val="auto"/>
              </w:rPr>
            </w:pPr>
          </w:p>
        </w:tc>
        <w:tc>
          <w:tcPr>
            <w:tcW w:w="4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63"/>
        </w:trPr>
        <w:tc>
          <w:tcPr>
            <w:tcW w:w="1084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Changes in Redeemable Noncontrolling Interest and Shareholders’ Deficit / Members’ Equity for the years ended</w:t>
            </w:r>
          </w:p>
        </w:tc>
        <w:tc>
          <w:tcPr>
            <w:tcW w:w="400" w:type="dxa"/>
            <w:vAlign w:val="bottom"/>
            <w:gridSpan w:val="8"/>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29"/>
        </w:trPr>
        <w:tc>
          <w:tcPr>
            <w:tcW w:w="2640" w:type="dxa"/>
            <w:vAlign w:val="bottom"/>
            <w:tcBorders>
              <w:top w:val="single" w:sz="8" w:color="0000FF"/>
            </w:tcBorders>
            <w:gridSpan w:val="6"/>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December 31, 2024, 2023, and 2022</w:t>
            </w:r>
          </w:p>
        </w:tc>
        <w:tc>
          <w:tcPr>
            <w:tcW w:w="2980" w:type="dxa"/>
            <w:vAlign w:val="bottom"/>
            <w:tcBorders>
              <w:top w:val="single" w:sz="8" w:color="0000FF"/>
            </w:tcBorders>
            <w:gridSpan w:val="9"/>
            <w:vMerge w:val="restart"/>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8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640" w:type="dxa"/>
            <w:vAlign w:val="bottom"/>
            <w:tcBorders>
              <w:bottom w:val="single" w:sz="8" w:color="0000FF"/>
            </w:tcBorders>
            <w:gridSpan w:val="6"/>
            <w:vMerge w:val="continue"/>
          </w:tcPr>
          <w:p>
            <w:pPr>
              <w:spacing w:after="0"/>
              <w:rPr>
                <w:sz w:val="5"/>
                <w:szCs w:val="5"/>
                <w:color w:val="auto"/>
              </w:rPr>
            </w:pPr>
          </w:p>
        </w:tc>
        <w:tc>
          <w:tcPr>
            <w:tcW w:w="2980" w:type="dxa"/>
            <w:vAlign w:val="bottom"/>
            <w:gridSpan w:val="9"/>
            <w:vMerge w:val="continue"/>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084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4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F-11</w:t>
            </w:r>
          </w:p>
        </w:tc>
        <w:tc>
          <w:tcPr>
            <w:tcW w:w="0" w:type="dxa"/>
            <w:vAlign w:val="bottom"/>
          </w:tcPr>
          <w:p>
            <w:pPr>
              <w:spacing w:after="0"/>
              <w:rPr>
                <w:sz w:val="1"/>
                <w:szCs w:val="1"/>
                <w:color w:val="auto"/>
              </w:rPr>
            </w:pPr>
          </w:p>
        </w:tc>
      </w:tr>
      <w:tr>
        <w:trPr>
          <w:trHeight w:val="263"/>
        </w:trPr>
        <w:tc>
          <w:tcPr>
            <w:tcW w:w="5620" w:type="dxa"/>
            <w:vAlign w:val="bottom"/>
            <w:tcBorders>
              <w:top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0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F-14</w:t>
            </w:r>
          </w:p>
        </w:tc>
        <w:tc>
          <w:tcPr>
            <w:tcW w:w="0" w:type="dxa"/>
            <w:vAlign w:val="bottom"/>
          </w:tcPr>
          <w:p>
            <w:pPr>
              <w:spacing w:after="0"/>
              <w:rPr>
                <w:sz w:val="1"/>
                <w:szCs w:val="1"/>
                <w:color w:val="auto"/>
              </w:rPr>
            </w:pPr>
          </w:p>
        </w:tc>
      </w:tr>
      <w:tr>
        <w:trPr>
          <w:trHeight w:val="20"/>
        </w:trPr>
        <w:tc>
          <w:tcPr>
            <w:tcW w:w="1100" w:type="dxa"/>
            <w:vAlign w:val="bottom"/>
            <w:tcBorders>
              <w:left w:val="single" w:sz="8" w:color="0000EE"/>
            </w:tcBorders>
            <w:gridSpan w:val="5"/>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(a)(2) Financial Statement Schedules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2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(a)(3) List of Exhibits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 w:type="dxa"/>
            <w:vAlign w:val="bottom"/>
          </w:tcPr>
          <w:p>
            <w:pPr>
              <w:spacing w:after="0"/>
              <w:rPr>
                <w:sz w:val="24"/>
                <w:szCs w:val="24"/>
                <w:color w:val="auto"/>
              </w:rPr>
            </w:pPr>
          </w:p>
        </w:tc>
        <w:tc>
          <w:tcPr>
            <w:tcW w:w="5540" w:type="dxa"/>
            <w:vAlign w:val="bottom"/>
            <w:gridSpan w:val="14"/>
          </w:tcPr>
          <w:p>
            <w:pPr>
              <w:jc w:val="center"/>
              <w:ind w:right="46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0"/>
                <w:szCs w:val="20"/>
                <w:color w:val="auto"/>
              </w:rPr>
            </w:pPr>
          </w:p>
        </w:tc>
        <w:tc>
          <w:tcPr>
            <w:tcW w:w="4540" w:type="dxa"/>
            <w:vAlign w:val="bottom"/>
            <w:tcBorders>
              <w:bottom w:val="single" w:sz="8" w:color="auto"/>
            </w:tcBorders>
            <w:gridSpan w:val="11"/>
          </w:tcPr>
          <w:p>
            <w:pPr>
              <w:spacing w:after="0"/>
              <w:rPr>
                <w:sz w:val="20"/>
                <w:szCs w:val="20"/>
                <w:color w:val="auto"/>
              </w:rPr>
            </w:pPr>
          </w:p>
        </w:tc>
        <w:tc>
          <w:tcPr>
            <w:tcW w:w="5220" w:type="dxa"/>
            <w:vAlign w:val="bottom"/>
            <w:tcBorders>
              <w:bottom w:val="single" w:sz="8" w:color="auto"/>
            </w:tcBorders>
            <w:gridSpan w:val="18"/>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Business Combination Agreement, dated as of January 18, 2022, by and between ProKidney Corp. (formerly known as Social Capital</w:t>
              </w:r>
            </w:hyperlink>
          </w:p>
        </w:tc>
        <w:tc>
          <w:tcPr>
            <w:tcW w:w="6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10"/>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Suvretta Holdings Corp. III) and ProKidney LP. (incorporated</w:t>
              </w:r>
            </w:hyperlink>
          </w:p>
        </w:tc>
        <w:tc>
          <w:tcPr>
            <w:tcW w:w="5620" w:type="dxa"/>
            <w:vAlign w:val="bottom"/>
            <w:gridSpan w:val="26"/>
          </w:tcPr>
          <w:p>
            <w:pPr>
              <w:jc w:val="right"/>
              <w:ind w:right="280"/>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by reference from Exhibit 2.1 to Form 8-K filed with the SEC on January</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21, 2022) (File No. 001-40560).</w:t>
              </w:r>
            </w:hyperlink>
          </w:p>
        </w:tc>
        <w:tc>
          <w:tcPr>
            <w:tcW w:w="5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2.2</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36"/>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New GP Joinder, dated as of June 7, 2022 (incorporated by reference from Exhibit 2.2 to Form 8-K filed with the SEC on July 15, 2022)</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62">
              <w:r>
                <w:rPr>
                  <w:rFonts w:ascii="Times New Roman" w:cs="Times New Roman" w:eastAsia="Times New Roman" w:hAnsi="Times New Roman"/>
                  <w:sz w:val="18"/>
                  <w:szCs w:val="18"/>
                  <w:color w:val="0000FF"/>
                  <w:w w:val="98"/>
                </w:rPr>
                <w:t>(File No. 001-40560).</w:t>
              </w:r>
            </w:hyperlink>
          </w:p>
        </w:tc>
        <w:tc>
          <w:tcPr>
            <w:tcW w:w="20" w:type="dxa"/>
            <w:vAlign w:val="bottom"/>
            <w:tcBorders>
              <w:top w:val="single" w:sz="8" w:color="0000FF"/>
              <w:bottom w:val="single" w:sz="8" w:color="0000EE"/>
            </w:tcBorders>
          </w:tcPr>
          <w:p>
            <w:pPr>
              <w:spacing w:after="0"/>
              <w:rPr>
                <w:sz w:val="17"/>
                <w:szCs w:val="17"/>
                <w:color w:val="auto"/>
              </w:rPr>
            </w:pPr>
          </w:p>
        </w:tc>
        <w:tc>
          <w:tcPr>
            <w:tcW w:w="2920" w:type="dxa"/>
            <w:vAlign w:val="bottom"/>
            <w:tcBorders>
              <w:top w:val="single" w:sz="8" w:color="0000FF"/>
            </w:tcBorders>
            <w:gridSpan w:val="7"/>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36"/>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Second Amended &amp; Restated Memorandum and Articles of Association of ProKidney Corp. (incorporated by reference from Exhibit 3.1 to</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8-K filed with the SEC on July 15, 2022) (File No. 001-40560).</w:t>
              </w:r>
            </w:hyperlink>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5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Description of registered securities</w:t>
            </w:r>
          </w:p>
        </w:tc>
        <w:tc>
          <w:tcPr>
            <w:tcW w:w="50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6"/>
            <w:shd w:val="clear" w:color="auto" w:fill="0000FF"/>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Tax Receivable Agreement, dated as of July 11, 2022, by and among ProKidney Corp. (formerly known as Social Capital Suvretta</w:t>
              </w:r>
            </w:hyperlink>
          </w:p>
        </w:tc>
        <w:tc>
          <w:tcPr>
            <w:tcW w:w="280" w:type="dxa"/>
            <w:vAlign w:val="bottom"/>
            <w:gridSpan w:val="4"/>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6"/>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Holdings Corp. III), the TRA Party Representative (as defined therein) and the TRA Parties (as defined therein) (incorporated by reference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from Exhibit 10.1 to Form 8-K filed with the SEC on July 15, 2022) (File No. 001-40560).</w:t>
              </w:r>
            </w:hyperlink>
          </w:p>
        </w:tc>
        <w:tc>
          <w:tcPr>
            <w:tcW w:w="20" w:type="dxa"/>
            <w:vAlign w:val="bottom"/>
            <w:tcBorders>
              <w:top w:val="single" w:sz="8" w:color="0000FF"/>
              <w:bottom w:val="single" w:sz="8" w:color="0000EE"/>
            </w:tcBorders>
          </w:tcPr>
          <w:p>
            <w:pPr>
              <w:spacing w:after="0"/>
              <w:rPr>
                <w:sz w:val="17"/>
                <w:szCs w:val="17"/>
                <w:color w:val="auto"/>
              </w:rPr>
            </w:pPr>
          </w:p>
        </w:tc>
        <w:tc>
          <w:tcPr>
            <w:tcW w:w="3180" w:type="dxa"/>
            <w:vAlign w:val="bottom"/>
            <w:tcBorders>
              <w:top w:val="single" w:sz="8" w:color="0000FF"/>
            </w:tcBorders>
            <w:gridSpan w:val="11"/>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Exchange Agreement, dated as of July 11, 2022, by and among ProKidney Corp. (formerly known as Social Capital Suvretta Holdings</w:t>
              </w:r>
            </w:hyperlink>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6"/>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Corp. III), ProKidney LP, acting through its general partner ProKidney Corp. GP Limited, and certain holders named therein (incorporated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80" w:type="dxa"/>
            <w:vAlign w:val="bottom"/>
            <w:tcBorders>
              <w:top w:val="single" w:sz="8" w:color="0000FF"/>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by reference from Exhibit 10.2 to Form 8-K filed with the SEC on July 15, 2022) (File No. 001-40560).</w:t>
              </w:r>
            </w:hyperlink>
          </w:p>
        </w:tc>
        <w:tc>
          <w:tcPr>
            <w:tcW w:w="20" w:type="dxa"/>
            <w:vAlign w:val="bottom"/>
            <w:tcBorders>
              <w:top w:val="single" w:sz="8" w:color="0000FF"/>
              <w:bottom w:val="single" w:sz="8" w:color="0000EE"/>
            </w:tcBorders>
          </w:tcPr>
          <w:p>
            <w:pPr>
              <w:spacing w:after="0"/>
              <w:rPr>
                <w:sz w:val="17"/>
                <w:szCs w:val="17"/>
                <w:color w:val="auto"/>
              </w:rPr>
            </w:pPr>
          </w:p>
        </w:tc>
        <w:tc>
          <w:tcPr>
            <w:tcW w:w="2240" w:type="dxa"/>
            <w:vAlign w:val="bottom"/>
            <w:tcBorders>
              <w:top w:val="single" w:sz="8" w:color="0000FF"/>
            </w:tcBorders>
            <w:gridSpan w:val="7"/>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Lock-up Agreement, dated as of July 11, 2022, by and among ProKidney Corp. (formerly known as Social Capital Suvretta Holdings Corp.</w:t>
              </w:r>
            </w:hyperlink>
          </w:p>
        </w:tc>
        <w:tc>
          <w:tcPr>
            <w:tcW w:w="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6"/>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III), SCS Sponsor III LLC, the Sponsor Key Holders (as defined therein) and the ProKidney Holders (as defined therein) (incorporated by</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reference from Exhibit 10.3 to Form 8-K filed with the SEC on July 15, 2022) (File No. 001-40560).</w:t>
              </w:r>
            </w:hyperlink>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tcBorders>
              <w:right w:val="single" w:sz="8" w:color="0000FF"/>
            </w:tcBorders>
            <w:gridSpan w:val="1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gridSpan w:val="6"/>
            <w:shd w:val="clear" w:color="auto" w:fill="0000FF"/>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Amended and Restated Registration Rights Agreement, dated as of July 11, 2022, by and among ProKidney Corp. (formerly known as</w:t>
              </w:r>
            </w:hyperlink>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Social Capital Suvretta Holdings Corp. III), SCS Sponsor III LLC, the ProKidney Holders (as defined therein), Marc Semigran, Uma</w:t>
              </w:r>
            </w:hyperlink>
          </w:p>
        </w:tc>
        <w:tc>
          <w:tcPr>
            <w:tcW w:w="12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6"/>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Sinha, Sukumar Nagendran, David Spiegel and the Investor Stockholders (as defined therein) (incorporated by reference from Exhibit 10.4</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to Form 8-K filed with the SEC on July 15, 2022) (File No. 001-40560).</w:t>
              </w:r>
            </w:hyperlink>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tcBorders>
              <w:right w:val="single" w:sz="8" w:color="0000EE"/>
            </w:tcBorders>
            <w:gridSpan w:val="1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00" w:type="dxa"/>
            <w:vAlign w:val="bottom"/>
            <w:gridSpan w:val="10"/>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8"/>
              </w:rPr>
              <w:t>10.5*</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36"/>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Second Amended and Restated Limited Partnership Agreement for a Limited Partnership Called ProKidney LP, dated as of July 11, 2022,</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tcBorders>
              <w:top w:val="single" w:sz="8" w:color="0000FF"/>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as amended as of November 14, 2023, by and among Tolerantia, LLC, Control Empresarial de Capitales, S.A. de C.V., ProKidney</w:t>
              </w:r>
            </w:hyperlink>
          </w:p>
        </w:tc>
        <w:tc>
          <w:tcPr>
            <w:tcW w:w="300" w:type="dxa"/>
            <w:vAlign w:val="bottom"/>
            <w:tcBorders>
              <w:top w:val="single" w:sz="8" w:color="0000FF"/>
            </w:tcBorders>
            <w:gridSpan w:val="5"/>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Management Equity LLC, ProKidney Corp. (formerly known as Social Capital</w:t>
              </w:r>
            </w:hyperlink>
          </w:p>
        </w:tc>
        <w:tc>
          <w:tcPr>
            <w:tcW w:w="4000" w:type="dxa"/>
            <w:vAlign w:val="bottom"/>
            <w:gridSpan w:val="15"/>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20" w:type="dxa"/>
            <w:vAlign w:val="bottom"/>
            <w:gridSpan w:val="14"/>
          </w:tcPr>
          <w:p>
            <w:pPr>
              <w:jc w:val="right"/>
              <w:ind w:right="27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9780" w:type="dxa"/>
            <w:vAlign w:val="bottom"/>
            <w:tcBorders>
              <w:bottom w:val="single" w:sz="8" w:color="0000FF"/>
            </w:tcBorders>
            <w:gridSpan w:val="44"/>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Suvretta Holdings Corp. III), ProKidney Corp. GP Limited and ProKidney GP Limited (incorporated by reference from Exhibit 10.5 to</w:t>
              </w:r>
            </w:hyperlink>
          </w:p>
        </w:tc>
        <w:tc>
          <w:tcPr>
            <w:tcW w:w="360" w:type="dxa"/>
            <w:vAlign w:val="bottom"/>
            <w:gridSpan w:val="11"/>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53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10-K filed with the SEC on March 28, 2023) (File No. 001-40560).</w:t>
              </w:r>
            </w:hyperlink>
          </w:p>
        </w:tc>
        <w:tc>
          <w:tcPr>
            <w:tcW w:w="4820" w:type="dxa"/>
            <w:vAlign w:val="bottom"/>
            <w:gridSpan w:val="33"/>
          </w:tcPr>
          <w:p>
            <w:pPr>
              <w:spacing w:after="0"/>
              <w:rPr>
                <w:sz w:val="17"/>
                <w:szCs w:val="17"/>
                <w:color w:val="auto"/>
              </w:rPr>
            </w:pPr>
          </w:p>
        </w:tc>
      </w:tr>
      <w:tr>
        <w:trPr>
          <w:trHeight w:val="263"/>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10.6</w:t>
            </w:r>
          </w:p>
        </w:tc>
        <w:tc>
          <w:tcPr>
            <w:tcW w:w="9820" w:type="dxa"/>
            <w:vAlign w:val="bottom"/>
            <w:tcBorders>
              <w:bottom w:val="single" w:sz="8" w:color="0000FF"/>
            </w:tcBorders>
            <w:gridSpan w:val="46"/>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ProKidney Corp. 2022 Incentive Equity Plan (incorporated by reference from Exhibit 10.11 to Form 8-K filed with the SEC on July 15,</w:t>
              </w:r>
            </w:hyperlink>
          </w:p>
        </w:tc>
        <w:tc>
          <w:tcPr>
            <w:tcW w:w="320" w:type="dxa"/>
            <w:vAlign w:val="bottom"/>
            <w:gridSpan w:val="9"/>
          </w:tcPr>
          <w:p>
            <w:pPr>
              <w:spacing w:after="0"/>
              <w:rPr>
                <w:sz w:val="22"/>
                <w:szCs w:val="22"/>
                <w:color w:val="auto"/>
              </w:rPr>
            </w:pPr>
          </w:p>
        </w:tc>
      </w:tr>
      <w:tr>
        <w:trPr>
          <w:trHeight w:val="196"/>
        </w:trPr>
        <w:tc>
          <w:tcPr>
            <w:tcW w:w="1100" w:type="dxa"/>
            <w:vAlign w:val="bottom"/>
          </w:tcPr>
          <w:p>
            <w:pPr>
              <w:spacing w:after="0"/>
              <w:rPr>
                <w:sz w:val="17"/>
                <w:szCs w:val="17"/>
                <w:color w:val="auto"/>
              </w:rPr>
            </w:pPr>
          </w:p>
        </w:tc>
        <w:tc>
          <w:tcPr>
            <w:tcW w:w="20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2022) (File No. 001-40560).</w:t>
              </w:r>
            </w:hyperlink>
          </w:p>
        </w:tc>
        <w:tc>
          <w:tcPr>
            <w:tcW w:w="8100" w:type="dxa"/>
            <w:vAlign w:val="bottom"/>
            <w:gridSpan w:val="45"/>
          </w:tcPr>
          <w:p>
            <w:pPr>
              <w:spacing w:after="0"/>
              <w:rPr>
                <w:sz w:val="17"/>
                <w:szCs w:val="17"/>
                <w:color w:val="auto"/>
              </w:rPr>
            </w:pPr>
          </w:p>
        </w:tc>
      </w:tr>
      <w:tr>
        <w:trPr>
          <w:trHeight w:val="263"/>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bottom w:val="single" w:sz="8" w:color="0000FF"/>
            </w:tcBorders>
            <w:gridSpan w:val="54"/>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ProKidney Corp. Employee Stock Purchase Plan (incorporated by reference from Exhibit 10.12 to Form 8-K filed with the SEC on July 15,</w:t>
              </w:r>
            </w:hyperlink>
          </w:p>
        </w:tc>
        <w:tc>
          <w:tcPr>
            <w:tcW w:w="40" w:type="dxa"/>
            <w:vAlign w:val="bottom"/>
          </w:tcPr>
          <w:p>
            <w:pPr>
              <w:spacing w:after="0"/>
              <w:rPr>
                <w:sz w:val="22"/>
                <w:szCs w:val="22"/>
                <w:color w:val="auto"/>
              </w:rPr>
            </w:pPr>
          </w:p>
        </w:tc>
      </w:tr>
      <w:tr>
        <w:trPr>
          <w:trHeight w:val="196"/>
        </w:trPr>
        <w:tc>
          <w:tcPr>
            <w:tcW w:w="1100" w:type="dxa"/>
            <w:vAlign w:val="bottom"/>
          </w:tcPr>
          <w:p>
            <w:pPr>
              <w:spacing w:after="0"/>
              <w:rPr>
                <w:sz w:val="17"/>
                <w:szCs w:val="17"/>
                <w:color w:val="auto"/>
              </w:rPr>
            </w:pPr>
          </w:p>
        </w:tc>
        <w:tc>
          <w:tcPr>
            <w:tcW w:w="20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172">
              <w:r>
                <w:rPr>
                  <w:rFonts w:ascii="Times New Roman" w:cs="Times New Roman" w:eastAsia="Times New Roman" w:hAnsi="Times New Roman"/>
                  <w:sz w:val="18"/>
                  <w:szCs w:val="18"/>
                  <w:color w:val="0000FF"/>
                  <w:w w:val="98"/>
                </w:rPr>
                <w:t>2022) (File No. 001-40560).</w:t>
              </w:r>
            </w:hyperlink>
          </w:p>
        </w:tc>
        <w:tc>
          <w:tcPr>
            <w:tcW w:w="20" w:type="dxa"/>
            <w:vAlign w:val="bottom"/>
            <w:tcBorders>
              <w:bottom w:val="single" w:sz="8" w:color="0000EE"/>
            </w:tcBorders>
          </w:tcPr>
          <w:p>
            <w:pPr>
              <w:spacing w:after="0"/>
              <w:rPr>
                <w:sz w:val="17"/>
                <w:szCs w:val="17"/>
                <w:color w:val="auto"/>
              </w:rPr>
            </w:pPr>
          </w:p>
        </w:tc>
        <w:tc>
          <w:tcPr>
            <w:tcW w:w="8080" w:type="dxa"/>
            <w:vAlign w:val="bottom"/>
            <w:gridSpan w:val="44"/>
          </w:tcPr>
          <w:p>
            <w:pPr>
              <w:spacing w:after="0"/>
              <w:rPr>
                <w:sz w:val="17"/>
                <w:szCs w:val="17"/>
                <w:color w:val="auto"/>
              </w:rPr>
            </w:pPr>
          </w:p>
        </w:tc>
      </w:tr>
      <w:tr>
        <w:trPr>
          <w:trHeight w:val="264"/>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w:t>
            </w:r>
          </w:p>
        </w:tc>
        <w:tc>
          <w:tcPr>
            <w:tcW w:w="9760" w:type="dxa"/>
            <w:vAlign w:val="bottom"/>
            <w:tcBorders>
              <w:bottom w:val="single" w:sz="8" w:color="0000FF"/>
            </w:tcBorders>
            <w:gridSpan w:val="43"/>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of Indemnification Agreement, dated as of July 11, 2022, by and among ProKidney Corp. and its directors and executive officers</w:t>
              </w:r>
            </w:hyperlink>
          </w:p>
        </w:tc>
        <w:tc>
          <w:tcPr>
            <w:tcW w:w="380" w:type="dxa"/>
            <w:vAlign w:val="bottom"/>
            <w:gridSpan w:val="12"/>
          </w:tcPr>
          <w:p>
            <w:pPr>
              <w:spacing w:after="0"/>
              <w:rPr>
                <w:sz w:val="22"/>
                <w:szCs w:val="22"/>
                <w:color w:val="auto"/>
              </w:rPr>
            </w:pPr>
          </w:p>
        </w:tc>
      </w:tr>
      <w:tr>
        <w:trPr>
          <w:trHeight w:val="196"/>
        </w:trPr>
        <w:tc>
          <w:tcPr>
            <w:tcW w:w="1100" w:type="dxa"/>
            <w:vAlign w:val="bottom"/>
          </w:tcPr>
          <w:p>
            <w:pPr>
              <w:spacing w:after="0"/>
              <w:rPr>
                <w:sz w:val="17"/>
                <w:szCs w:val="17"/>
                <w:color w:val="auto"/>
              </w:rPr>
            </w:pPr>
          </w:p>
        </w:tc>
        <w:tc>
          <w:tcPr>
            <w:tcW w:w="858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(incorporated by reference from Exhibit 10.13 to Form 8-K filed with the SEC on July 15, 2022) (File No. 001-40560).</w:t>
              </w:r>
            </w:hyperlink>
          </w:p>
        </w:tc>
        <w:tc>
          <w:tcPr>
            <w:tcW w:w="20" w:type="dxa"/>
            <w:vAlign w:val="bottom"/>
            <w:tcBorders>
              <w:bottom w:val="single" w:sz="8" w:color="0000EE"/>
            </w:tcBorders>
          </w:tcPr>
          <w:p>
            <w:pPr>
              <w:spacing w:after="0"/>
              <w:rPr>
                <w:sz w:val="17"/>
                <w:szCs w:val="17"/>
                <w:color w:val="auto"/>
              </w:rPr>
            </w:pPr>
          </w:p>
        </w:tc>
        <w:tc>
          <w:tcPr>
            <w:tcW w:w="1540" w:type="dxa"/>
            <w:vAlign w:val="bottom"/>
            <w:gridSpan w:val="22"/>
          </w:tcPr>
          <w:p>
            <w:pPr>
              <w:spacing w:after="0"/>
              <w:rPr>
                <w:sz w:val="17"/>
                <w:szCs w:val="17"/>
                <w:color w:val="auto"/>
              </w:rPr>
            </w:pPr>
          </w:p>
        </w:tc>
      </w:tr>
      <w:tr>
        <w:trPr>
          <w:trHeight w:val="263"/>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10.9†</w:t>
            </w:r>
          </w:p>
        </w:tc>
        <w:tc>
          <w:tcPr>
            <w:tcW w:w="9920" w:type="dxa"/>
            <w:vAlign w:val="bottom"/>
            <w:tcBorders>
              <w:bottom w:val="single" w:sz="8" w:color="0000FF"/>
            </w:tcBorders>
            <w:gridSpan w:val="48"/>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Employment Agreement, dated as of December 3, 2022 by and between James Coulston and ProKidney, LLC (incorporated by reference</w:t>
              </w:r>
            </w:hyperlink>
          </w:p>
        </w:tc>
        <w:tc>
          <w:tcPr>
            <w:tcW w:w="220" w:type="dxa"/>
            <w:vAlign w:val="bottom"/>
            <w:gridSpan w:val="7"/>
          </w:tcPr>
          <w:p>
            <w:pPr>
              <w:spacing w:after="0"/>
              <w:rPr>
                <w:sz w:val="22"/>
                <w:szCs w:val="22"/>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55"/>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from Exhibit 10.14 to Form 10-K filed with the SEC on March 28, 2023) (File No. 001-40560).</w:t>
              </w:r>
            </w:hyperlink>
          </w:p>
        </w:tc>
      </w:tr>
      <w:tr>
        <w:trPr>
          <w:trHeight w:val="20"/>
        </w:trPr>
        <w:tc>
          <w:tcPr>
            <w:tcW w:w="11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10.10†</w:t>
            </w:r>
          </w:p>
        </w:tc>
        <w:tc>
          <w:tcPr>
            <w:tcW w:w="10080" w:type="dxa"/>
            <w:vAlign w:val="bottom"/>
            <w:tcBorders>
              <w:bottom w:val="single" w:sz="8" w:color="0000FF"/>
            </w:tcBorders>
            <w:gridSpan w:val="53"/>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of Director Stock Option Award (incorporated by reference from Exhibit 10.17 to Form 10-K filed with the SEC on March 28, 2023)</w:t>
              </w:r>
            </w:hyperlink>
          </w:p>
        </w:tc>
        <w:tc>
          <w:tcPr>
            <w:tcW w:w="60" w:type="dxa"/>
            <w:vAlign w:val="bottom"/>
            <w:gridSpan w:val="2"/>
          </w:tcPr>
          <w:p>
            <w:pPr>
              <w:spacing w:after="0"/>
              <w:rPr>
                <w:sz w:val="22"/>
                <w:szCs w:val="22"/>
                <w:color w:val="auto"/>
              </w:rPr>
            </w:pPr>
          </w:p>
        </w:tc>
      </w:tr>
      <w:tr>
        <w:trPr>
          <w:trHeight w:val="196"/>
        </w:trPr>
        <w:tc>
          <w:tcPr>
            <w:tcW w:w="1100" w:type="dxa"/>
            <w:vAlign w:val="bottom"/>
          </w:tcPr>
          <w:p>
            <w:pPr>
              <w:spacing w:after="0"/>
              <w:rPr>
                <w:sz w:val="17"/>
                <w:szCs w:val="17"/>
                <w:color w:val="auto"/>
              </w:rPr>
            </w:pPr>
          </w:p>
        </w:tc>
        <w:tc>
          <w:tcPr>
            <w:tcW w:w="15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(File No. 001-40560).</w:t>
              </w:r>
            </w:hyperlink>
          </w:p>
        </w:tc>
        <w:tc>
          <w:tcPr>
            <w:tcW w:w="20" w:type="dxa"/>
            <w:vAlign w:val="bottom"/>
            <w:tcBorders>
              <w:bottom w:val="single" w:sz="8" w:color="0000EE"/>
            </w:tcBorders>
          </w:tcPr>
          <w:p>
            <w:pPr>
              <w:spacing w:after="0"/>
              <w:rPr>
                <w:sz w:val="17"/>
                <w:szCs w:val="17"/>
                <w:color w:val="auto"/>
              </w:rPr>
            </w:pPr>
          </w:p>
        </w:tc>
        <w:tc>
          <w:tcPr>
            <w:tcW w:w="8540" w:type="dxa"/>
            <w:vAlign w:val="bottom"/>
            <w:gridSpan w:val="48"/>
          </w:tcPr>
          <w:p>
            <w:pPr>
              <w:spacing w:after="0"/>
              <w:rPr>
                <w:sz w:val="17"/>
                <w:szCs w:val="17"/>
                <w:color w:val="auto"/>
              </w:rPr>
            </w:pPr>
          </w:p>
        </w:tc>
      </w:tr>
      <w:tr>
        <w:trPr>
          <w:trHeight w:val="264"/>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10.11†</w:t>
            </w:r>
          </w:p>
        </w:tc>
        <w:tc>
          <w:tcPr>
            <w:tcW w:w="9680" w:type="dxa"/>
            <w:vAlign w:val="bottom"/>
            <w:tcBorders>
              <w:bottom w:val="single" w:sz="8" w:color="0000FF"/>
            </w:tcBorders>
            <w:gridSpan w:val="41"/>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of Employee Incentive Stock Option Award (incorporated by reference from Exhibit 10.18 to Form 10-K filed with the SEC on</w:t>
              </w:r>
            </w:hyperlink>
          </w:p>
        </w:tc>
        <w:tc>
          <w:tcPr>
            <w:tcW w:w="460" w:type="dxa"/>
            <w:vAlign w:val="bottom"/>
            <w:gridSpan w:val="14"/>
          </w:tcPr>
          <w:p>
            <w:pPr>
              <w:spacing w:after="0"/>
              <w:rPr>
                <w:sz w:val="22"/>
                <w:szCs w:val="22"/>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55"/>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March 28, 2023) (File No. 001-40560).</w:t>
              </w:r>
            </w:hyperlink>
          </w:p>
        </w:tc>
      </w:tr>
      <w:tr>
        <w:trPr>
          <w:trHeight w:val="20"/>
        </w:trPr>
        <w:tc>
          <w:tcPr>
            <w:tcW w:w="11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63"/>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10.12†</w:t>
            </w:r>
          </w:p>
        </w:tc>
        <w:tc>
          <w:tcPr>
            <w:tcW w:w="956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ProKidney Short Term Incentive Performance Plan (incorporated by reference from Exhibit 10.1 to Form 8-K filed with the SEC on</w:t>
              </w:r>
            </w:hyperlink>
          </w:p>
        </w:tc>
        <w:tc>
          <w:tcPr>
            <w:tcW w:w="580" w:type="dxa"/>
            <w:vAlign w:val="bottom"/>
            <w:gridSpan w:val="18"/>
          </w:tcPr>
          <w:p>
            <w:pPr>
              <w:spacing w:after="0"/>
              <w:rPr>
                <w:sz w:val="22"/>
                <w:szCs w:val="22"/>
                <w:color w:val="auto"/>
              </w:rPr>
            </w:pPr>
          </w:p>
        </w:tc>
      </w:tr>
      <w:tr>
        <w:trPr>
          <w:trHeight w:val="196"/>
        </w:trPr>
        <w:tc>
          <w:tcPr>
            <w:tcW w:w="1100" w:type="dxa"/>
            <w:vAlign w:val="bottom"/>
          </w:tcPr>
          <w:p>
            <w:pPr>
              <w:spacing w:after="0"/>
              <w:rPr>
                <w:sz w:val="17"/>
                <w:szCs w:val="17"/>
                <w:color w:val="auto"/>
              </w:rPr>
            </w:pPr>
          </w:p>
        </w:tc>
        <w:tc>
          <w:tcPr>
            <w:tcW w:w="29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January 19, 2023) (File No. 001-40560).</w:t>
              </w:r>
            </w:hyperlink>
          </w:p>
        </w:tc>
        <w:tc>
          <w:tcPr>
            <w:tcW w:w="20" w:type="dxa"/>
            <w:vAlign w:val="bottom"/>
            <w:tcBorders>
              <w:bottom w:val="single" w:sz="8" w:color="0000EE"/>
            </w:tcBorders>
          </w:tcPr>
          <w:p>
            <w:pPr>
              <w:spacing w:after="0"/>
              <w:rPr>
                <w:sz w:val="17"/>
                <w:szCs w:val="17"/>
                <w:color w:val="auto"/>
              </w:rPr>
            </w:pPr>
          </w:p>
        </w:tc>
        <w:tc>
          <w:tcPr>
            <w:tcW w:w="7200" w:type="dxa"/>
            <w:vAlign w:val="bottom"/>
            <w:gridSpan w:val="38"/>
          </w:tcPr>
          <w:p>
            <w:pPr>
              <w:spacing w:after="0"/>
              <w:rPr>
                <w:sz w:val="17"/>
                <w:szCs w:val="17"/>
                <w:color w:val="auto"/>
              </w:rPr>
            </w:pPr>
          </w:p>
        </w:tc>
      </w:tr>
      <w:tr>
        <w:trPr>
          <w:trHeight w:val="263"/>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10.13†</w:t>
            </w:r>
          </w:p>
        </w:tc>
        <w:tc>
          <w:tcPr>
            <w:tcW w:w="9980" w:type="dxa"/>
            <w:vAlign w:val="bottom"/>
            <w:tcBorders>
              <w:bottom w:val="single" w:sz="8" w:color="0000FF"/>
            </w:tcBorders>
            <w:gridSpan w:val="49"/>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Employment Agreement, dated December 3, 2023, by and between ProKidney, LLC and Bruce Culleton. (incorporated by reference from</w:t>
              </w:r>
            </w:hyperlink>
          </w:p>
        </w:tc>
        <w:tc>
          <w:tcPr>
            <w:tcW w:w="160" w:type="dxa"/>
            <w:vAlign w:val="bottom"/>
            <w:gridSpan w:val="6"/>
          </w:tcPr>
          <w:p>
            <w:pPr>
              <w:spacing w:after="0"/>
              <w:rPr>
                <w:sz w:val="22"/>
                <w:szCs w:val="22"/>
                <w:color w:val="auto"/>
              </w:rPr>
            </w:pPr>
          </w:p>
        </w:tc>
      </w:tr>
      <w:tr>
        <w:trPr>
          <w:trHeight w:val="196"/>
        </w:trPr>
        <w:tc>
          <w:tcPr>
            <w:tcW w:w="1100" w:type="dxa"/>
            <w:vAlign w:val="bottom"/>
          </w:tcPr>
          <w:p>
            <w:pPr>
              <w:spacing w:after="0"/>
              <w:rPr>
                <w:sz w:val="17"/>
                <w:szCs w:val="17"/>
                <w:color w:val="auto"/>
              </w:rPr>
            </w:pPr>
          </w:p>
        </w:tc>
        <w:tc>
          <w:tcPr>
            <w:tcW w:w="67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Exhibit 10.1 to Form 8-K/A filed with the SEC on December 5, 2023) (File No. 001-40560).</w:t>
              </w:r>
            </w:hyperlink>
          </w:p>
        </w:tc>
        <w:tc>
          <w:tcPr>
            <w:tcW w:w="3400" w:type="dxa"/>
            <w:vAlign w:val="bottom"/>
            <w:gridSpan w:val="26"/>
          </w:tcPr>
          <w:p>
            <w:pPr>
              <w:spacing w:after="0"/>
              <w:rPr>
                <w:sz w:val="17"/>
                <w:szCs w:val="17"/>
                <w:color w:val="auto"/>
              </w:rPr>
            </w:pPr>
          </w:p>
        </w:tc>
      </w:tr>
      <w:tr>
        <w:trPr>
          <w:trHeight w:val="264"/>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10.14</w:t>
            </w:r>
          </w:p>
        </w:tc>
        <w:tc>
          <w:tcPr>
            <w:tcW w:w="948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Research, Development, Engineering Services and License Memorandum and Agreement, dated January 16, 2022, by and between</w:t>
              </w:r>
            </w:hyperlink>
          </w:p>
        </w:tc>
        <w:tc>
          <w:tcPr>
            <w:tcW w:w="660" w:type="dxa"/>
            <w:vAlign w:val="bottom"/>
            <w:gridSpan w:val="19"/>
          </w:tcPr>
          <w:p>
            <w:pPr>
              <w:spacing w:after="0"/>
              <w:rPr>
                <w:sz w:val="22"/>
                <w:szCs w:val="22"/>
                <w:color w:val="auto"/>
              </w:rPr>
            </w:pPr>
          </w:p>
        </w:tc>
      </w:tr>
      <w:tr>
        <w:trPr>
          <w:trHeight w:val="196"/>
        </w:trPr>
        <w:tc>
          <w:tcPr>
            <w:tcW w:w="1100" w:type="dxa"/>
            <w:vAlign w:val="bottom"/>
          </w:tcPr>
          <w:p>
            <w:pPr>
              <w:spacing w:after="0"/>
              <w:rPr>
                <w:sz w:val="17"/>
                <w:szCs w:val="17"/>
                <w:color w:val="auto"/>
              </w:rPr>
            </w:pPr>
          </w:p>
        </w:tc>
        <w:tc>
          <w:tcPr>
            <w:tcW w:w="9920" w:type="dxa"/>
            <w:vAlign w:val="bottom"/>
            <w:tcBorders>
              <w:bottom w:val="single" w:sz="8" w:color="0000FF"/>
            </w:tcBorders>
            <w:gridSpan w:val="48"/>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ProKidney (formerly RegenMed (Cayman) Ltd.) and DEKA Products Limited Partnership (incorporated by reference from Exhibit 10.14</w:t>
              </w:r>
            </w:hyperlink>
          </w:p>
        </w:tc>
        <w:tc>
          <w:tcPr>
            <w:tcW w:w="220" w:type="dxa"/>
            <w:vAlign w:val="bottom"/>
            <w:gridSpan w:val="7"/>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55"/>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to Form S-1 filed with the SEC on August 9, 2022) (File No. 333-266683)</w:t>
              </w:r>
              <w:r>
                <w:rPr>
                  <w:rFonts w:ascii="Times New Roman" w:cs="Times New Roman" w:eastAsia="Times New Roman" w:hAnsi="Times New Roman"/>
                  <w:sz w:val="18"/>
                  <w:szCs w:val="18"/>
                  <w:color w:val="000000"/>
                </w:rPr>
                <w:t>.</w:t>
              </w:r>
            </w:hyperlink>
          </w:p>
        </w:tc>
      </w:tr>
      <w:tr>
        <w:trPr>
          <w:trHeight w:val="20"/>
        </w:trPr>
        <w:tc>
          <w:tcPr>
            <w:tcW w:w="11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63"/>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10.15</w:t>
            </w:r>
          </w:p>
        </w:tc>
        <w:tc>
          <w:tcPr>
            <w:tcW w:w="9720" w:type="dxa"/>
            <w:vAlign w:val="bottom"/>
            <w:tcBorders>
              <w:bottom w:val="single" w:sz="8" w:color="0000FF"/>
            </w:tcBorders>
            <w:gridSpan w:val="42"/>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Consulting Services Agreement, dated as of January 1, 2020 between ProKidney (formerly known as RegenMed (Cayman) Ltd. (d/b/a</w:t>
              </w:r>
            </w:hyperlink>
          </w:p>
        </w:tc>
        <w:tc>
          <w:tcPr>
            <w:tcW w:w="420" w:type="dxa"/>
            <w:vAlign w:val="bottom"/>
            <w:gridSpan w:val="13"/>
          </w:tcPr>
          <w:p>
            <w:pPr>
              <w:spacing w:after="0"/>
              <w:rPr>
                <w:sz w:val="22"/>
                <w:szCs w:val="22"/>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55"/>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inRegen)) and Nefro Health (incorporated by reference from Exhibit 10.30 to Form 10-K filed with the SEC on March 28, 2023) (File No.</w:t>
              </w:r>
            </w:hyperlink>
          </w:p>
        </w:tc>
      </w:tr>
      <w:tr>
        <w:trPr>
          <w:trHeight w:val="196"/>
        </w:trPr>
        <w:tc>
          <w:tcPr>
            <w:tcW w:w="1100" w:type="dxa"/>
            <w:vAlign w:val="bottom"/>
          </w:tcPr>
          <w:p>
            <w:pPr>
              <w:spacing w:after="0"/>
              <w:rPr>
                <w:sz w:val="17"/>
                <w:szCs w:val="17"/>
                <w:color w:val="auto"/>
              </w:rPr>
            </w:pPr>
          </w:p>
        </w:tc>
        <w:tc>
          <w:tcPr>
            <w:tcW w:w="8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180">
              <w:r>
                <w:rPr>
                  <w:rFonts w:ascii="Times New Roman" w:cs="Times New Roman" w:eastAsia="Times New Roman" w:hAnsi="Times New Roman"/>
                  <w:sz w:val="18"/>
                  <w:szCs w:val="18"/>
                  <w:color w:val="0000FF"/>
                  <w:w w:val="97"/>
                </w:rPr>
                <w:t>001-40560)</w:t>
              </w:r>
            </w:hyperlink>
          </w:p>
        </w:tc>
        <w:tc>
          <w:tcPr>
            <w:tcW w:w="20" w:type="dxa"/>
            <w:vAlign w:val="bottom"/>
            <w:tcBorders>
              <w:top w:val="single" w:sz="8" w:color="0000FF"/>
              <w:bottom w:val="single" w:sz="8" w:color="0000EE"/>
            </w:tcBorders>
          </w:tcPr>
          <w:p>
            <w:pPr>
              <w:spacing w:after="0"/>
              <w:rPr>
                <w:sz w:val="17"/>
                <w:szCs w:val="17"/>
                <w:color w:val="auto"/>
              </w:rPr>
            </w:pPr>
          </w:p>
        </w:tc>
        <w:tc>
          <w:tcPr>
            <w:tcW w:w="9140" w:type="dxa"/>
            <w:vAlign w:val="bottom"/>
            <w:tcBorders>
              <w:top w:val="single" w:sz="8" w:color="0000FF"/>
            </w:tcBorders>
            <w:gridSpan w:val="48"/>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263"/>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10.16</w:t>
            </w:r>
          </w:p>
        </w:tc>
        <w:tc>
          <w:tcPr>
            <w:tcW w:w="10060" w:type="dxa"/>
            <w:vAlign w:val="bottom"/>
            <w:tcBorders>
              <w:bottom w:val="single" w:sz="8" w:color="0000FF"/>
            </w:tcBorders>
            <w:gridSpan w:val="52"/>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Consulting Services Agreement, dated as of January 1, 2020 between ProKidney, LLC (formerly known as Twin City Bio LLC) and Nefro</w:t>
              </w:r>
            </w:hyperlink>
          </w:p>
        </w:tc>
        <w:tc>
          <w:tcPr>
            <w:tcW w:w="80" w:type="dxa"/>
            <w:vAlign w:val="bottom"/>
            <w:gridSpan w:val="3"/>
          </w:tcPr>
          <w:p>
            <w:pPr>
              <w:spacing w:after="0"/>
              <w:rPr>
                <w:sz w:val="22"/>
                <w:szCs w:val="22"/>
                <w:color w:val="auto"/>
              </w:rPr>
            </w:pPr>
          </w:p>
        </w:tc>
      </w:tr>
      <w:tr>
        <w:trPr>
          <w:trHeight w:val="196"/>
        </w:trPr>
        <w:tc>
          <w:tcPr>
            <w:tcW w:w="1100" w:type="dxa"/>
            <w:vAlign w:val="bottom"/>
          </w:tcPr>
          <w:p>
            <w:pPr>
              <w:spacing w:after="0"/>
              <w:rPr>
                <w:sz w:val="17"/>
                <w:szCs w:val="17"/>
                <w:color w:val="auto"/>
              </w:rPr>
            </w:pPr>
          </w:p>
        </w:tc>
        <w:tc>
          <w:tcPr>
            <w:tcW w:w="936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Health (incorporated by reference from Exhibit 10.31 to Form 10-K filed with the SEC on March 28, 2023) (File No. 001-40560).</w:t>
              </w:r>
            </w:hyperlink>
          </w:p>
        </w:tc>
        <w:tc>
          <w:tcPr>
            <w:tcW w:w="20" w:type="dxa"/>
            <w:vAlign w:val="bottom"/>
            <w:tcBorders>
              <w:bottom w:val="single" w:sz="8" w:color="0000EE"/>
            </w:tcBorders>
          </w:tcPr>
          <w:p>
            <w:pPr>
              <w:spacing w:after="0"/>
              <w:rPr>
                <w:sz w:val="17"/>
                <w:szCs w:val="17"/>
                <w:color w:val="auto"/>
              </w:rPr>
            </w:pPr>
          </w:p>
        </w:tc>
        <w:tc>
          <w:tcPr>
            <w:tcW w:w="760" w:type="dxa"/>
            <w:vAlign w:val="bottom"/>
            <w:gridSpan w:val="20"/>
          </w:tcPr>
          <w:p>
            <w:pPr>
              <w:spacing w:after="0"/>
              <w:rPr>
                <w:sz w:val="17"/>
                <w:szCs w:val="17"/>
                <w:color w:val="auto"/>
              </w:rPr>
            </w:pPr>
          </w:p>
        </w:tc>
      </w:tr>
      <w:tr>
        <w:trPr>
          <w:trHeight w:val="263"/>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10.17</w:t>
            </w:r>
          </w:p>
        </w:tc>
        <w:tc>
          <w:tcPr>
            <w:tcW w:w="10040" w:type="dxa"/>
            <w:vAlign w:val="bottom"/>
            <w:tcBorders>
              <w:bottom w:val="single" w:sz="8" w:color="0000FF"/>
            </w:tcBorders>
            <w:gridSpan w:val="51"/>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Open Market Sale Agreement SM, dated January 19, 2024, by and between ProKidney Corp. and Jefferies LLC (incorporated by reference</w:t>
              </w:r>
            </w:hyperlink>
          </w:p>
        </w:tc>
        <w:tc>
          <w:tcPr>
            <w:tcW w:w="100" w:type="dxa"/>
            <w:vAlign w:val="bottom"/>
            <w:gridSpan w:val="4"/>
          </w:tcPr>
          <w:p>
            <w:pPr>
              <w:spacing w:after="0"/>
              <w:rPr>
                <w:sz w:val="22"/>
                <w:szCs w:val="22"/>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55"/>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from Exhibit 1.1 to Form 8-K filed with the SEC on January 19, 2024) (File No. 001-40560).</w:t>
              </w:r>
            </w:hyperlink>
          </w:p>
        </w:tc>
      </w:tr>
      <w:tr>
        <w:trPr>
          <w:trHeight w:val="20"/>
        </w:trPr>
        <w:tc>
          <w:tcPr>
            <w:tcW w:w="110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r>
      <w:tr>
        <w:trPr>
          <w:trHeight w:val="263"/>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10.18†</w:t>
            </w:r>
          </w:p>
        </w:tc>
        <w:tc>
          <w:tcPr>
            <w:tcW w:w="958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Employment Agreement, dated March 25, 2024, by and between ProKidney, LLC and Ulrich Ernst. (incorporated by reference from</w:t>
              </w:r>
            </w:hyperlink>
          </w:p>
        </w:tc>
        <w:tc>
          <w:tcPr>
            <w:tcW w:w="560" w:type="dxa"/>
            <w:vAlign w:val="bottom"/>
            <w:gridSpan w:val="17"/>
          </w:tcPr>
          <w:p>
            <w:pPr>
              <w:spacing w:after="0"/>
              <w:rPr>
                <w:sz w:val="22"/>
                <w:szCs w:val="22"/>
                <w:color w:val="auto"/>
              </w:rPr>
            </w:pPr>
          </w:p>
        </w:tc>
      </w:tr>
      <w:tr>
        <w:trPr>
          <w:trHeight w:val="196"/>
        </w:trPr>
        <w:tc>
          <w:tcPr>
            <w:tcW w:w="1100" w:type="dxa"/>
            <w:vAlign w:val="bottom"/>
          </w:tcPr>
          <w:p>
            <w:pPr>
              <w:spacing w:after="0"/>
              <w:rPr>
                <w:sz w:val="17"/>
                <w:szCs w:val="17"/>
                <w:color w:val="auto"/>
              </w:rPr>
            </w:pPr>
          </w:p>
        </w:tc>
        <w:tc>
          <w:tcPr>
            <w:tcW w:w="63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Exhibit 10.1 to Form 8-K filed with the SEC on March 25, 2024) (File No. 001-40560)</w:t>
              </w:r>
            </w:hyperlink>
          </w:p>
        </w:tc>
        <w:tc>
          <w:tcPr>
            <w:tcW w:w="3840" w:type="dxa"/>
            <w:vAlign w:val="bottom"/>
            <w:gridSpan w:val="30"/>
          </w:tcPr>
          <w:p>
            <w:pPr>
              <w:spacing w:after="0"/>
              <w:rPr>
                <w:sz w:val="17"/>
                <w:szCs w:val="17"/>
                <w:color w:val="auto"/>
              </w:rPr>
            </w:pPr>
          </w:p>
        </w:tc>
      </w:tr>
      <w:tr>
        <w:trPr>
          <w:trHeight w:val="264"/>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10.19</w:t>
            </w:r>
          </w:p>
        </w:tc>
        <w:tc>
          <w:tcPr>
            <w:tcW w:w="9860" w:type="dxa"/>
            <w:vAlign w:val="bottom"/>
            <w:tcBorders>
              <w:bottom w:val="single" w:sz="8" w:color="0000FF"/>
            </w:tcBorders>
            <w:gridSpan w:val="47"/>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of Share Purchase Agreement by and between the Company and certain investors, dated June 11, 2024. (incorporated by reference</w:t>
              </w:r>
            </w:hyperlink>
          </w:p>
        </w:tc>
        <w:tc>
          <w:tcPr>
            <w:tcW w:w="280" w:type="dxa"/>
            <w:vAlign w:val="bottom"/>
            <w:gridSpan w:val="8"/>
          </w:tcPr>
          <w:p>
            <w:pPr>
              <w:spacing w:after="0"/>
              <w:rPr>
                <w:sz w:val="22"/>
                <w:szCs w:val="22"/>
                <w:color w:val="auto"/>
              </w:rPr>
            </w:pPr>
          </w:p>
        </w:tc>
      </w:tr>
      <w:tr>
        <w:trPr>
          <w:trHeight w:val="196"/>
        </w:trPr>
        <w:tc>
          <w:tcPr>
            <w:tcW w:w="1100" w:type="dxa"/>
            <w:vAlign w:val="bottom"/>
          </w:tcPr>
          <w:p>
            <w:pPr>
              <w:spacing w:after="0"/>
              <w:rPr>
                <w:sz w:val="17"/>
                <w:szCs w:val="17"/>
                <w:color w:val="auto"/>
              </w:rPr>
            </w:pPr>
          </w:p>
        </w:tc>
        <w:tc>
          <w:tcPr>
            <w:tcW w:w="65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from Exhibit 10.1 to Form 8-K filed with the SEC on June 13, 2024) (File No. 001-40560)</w:t>
              </w:r>
            </w:hyperlink>
          </w:p>
        </w:tc>
        <w:tc>
          <w:tcPr>
            <w:tcW w:w="20" w:type="dxa"/>
            <w:vAlign w:val="bottom"/>
            <w:tcBorders>
              <w:bottom w:val="single" w:sz="8" w:color="0000EE"/>
            </w:tcBorders>
          </w:tcPr>
          <w:p>
            <w:pPr>
              <w:spacing w:after="0"/>
              <w:rPr>
                <w:sz w:val="17"/>
                <w:szCs w:val="17"/>
                <w:color w:val="auto"/>
              </w:rPr>
            </w:pPr>
          </w:p>
        </w:tc>
        <w:tc>
          <w:tcPr>
            <w:tcW w:w="3600" w:type="dxa"/>
            <w:vAlign w:val="bottom"/>
            <w:gridSpan w:val="28"/>
          </w:tcPr>
          <w:p>
            <w:pPr>
              <w:spacing w:after="0"/>
              <w:rPr>
                <w:sz w:val="17"/>
                <w:szCs w:val="17"/>
                <w:color w:val="auto"/>
              </w:rPr>
            </w:pPr>
          </w:p>
        </w:tc>
      </w:tr>
      <w:tr>
        <w:trPr>
          <w:trHeight w:val="263"/>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10.20*</w:t>
            </w:r>
          </w:p>
        </w:tc>
        <w:tc>
          <w:tcPr>
            <w:tcW w:w="9800" w:type="dxa"/>
            <w:vAlign w:val="bottom"/>
            <w:tcBorders>
              <w:bottom w:val="single" w:sz="8" w:color="0000FF"/>
            </w:tcBorders>
            <w:gridSpan w:val="45"/>
          </w:tcPr>
          <w:p>
            <w:pPr>
              <w:spacing w:after="0"/>
              <w:rPr>
                <w:sz w:val="20"/>
                <w:szCs w:val="20"/>
                <w:color w:val="auto"/>
              </w:rPr>
            </w:pPr>
            <w:r>
              <w:rPr>
                <w:rFonts w:ascii="Times New Roman" w:cs="Times New Roman" w:eastAsia="Times New Roman" w:hAnsi="Times New Roman"/>
                <w:sz w:val="18"/>
                <w:szCs w:val="18"/>
                <w:color w:val="0000FF"/>
              </w:rPr>
              <w:t>Purchase and Sale Agreement by and between the ProKidney Acquisition Company, LLC and Breit SE Industrial Propco NC LP, dated</w:t>
            </w:r>
          </w:p>
        </w:tc>
        <w:tc>
          <w:tcPr>
            <w:tcW w:w="340" w:type="dxa"/>
            <w:vAlign w:val="bottom"/>
            <w:gridSpan w:val="10"/>
          </w:tcPr>
          <w:p>
            <w:pPr>
              <w:spacing w:after="0"/>
              <w:rPr>
                <w:sz w:val="22"/>
                <w:szCs w:val="22"/>
                <w:color w:val="auto"/>
              </w:rPr>
            </w:pPr>
          </w:p>
        </w:tc>
      </w:tr>
      <w:tr>
        <w:trPr>
          <w:trHeight w:val="196"/>
        </w:trPr>
        <w:tc>
          <w:tcPr>
            <w:tcW w:w="1100" w:type="dxa"/>
            <w:vAlign w:val="bottom"/>
          </w:tcPr>
          <w:p>
            <w:pPr>
              <w:spacing w:after="0"/>
              <w:rPr>
                <w:sz w:val="17"/>
                <w:szCs w:val="17"/>
                <w:color w:val="auto"/>
              </w:rPr>
            </w:pPr>
          </w:p>
        </w:tc>
        <w:tc>
          <w:tcPr>
            <w:tcW w:w="14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November 20, 2024.</w:t>
            </w:r>
          </w:p>
        </w:tc>
        <w:tc>
          <w:tcPr>
            <w:tcW w:w="20" w:type="dxa"/>
            <w:vAlign w:val="bottom"/>
            <w:tcBorders>
              <w:bottom w:val="single" w:sz="8" w:color="0000EE"/>
            </w:tcBorders>
          </w:tcPr>
          <w:p>
            <w:pPr>
              <w:spacing w:after="0"/>
              <w:rPr>
                <w:sz w:val="17"/>
                <w:szCs w:val="17"/>
                <w:color w:val="auto"/>
              </w:rPr>
            </w:pPr>
          </w:p>
        </w:tc>
        <w:tc>
          <w:tcPr>
            <w:tcW w:w="8640" w:type="dxa"/>
            <w:vAlign w:val="bottom"/>
            <w:gridSpan w:val="50"/>
          </w:tcPr>
          <w:p>
            <w:pPr>
              <w:spacing w:after="0"/>
              <w:rPr>
                <w:sz w:val="17"/>
                <w:szCs w:val="17"/>
                <w:color w:val="auto"/>
              </w:rPr>
            </w:pPr>
          </w:p>
        </w:tc>
      </w:tr>
      <w:tr>
        <w:trPr>
          <w:trHeight w:val="263"/>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10.21*</w:t>
            </w:r>
          </w:p>
        </w:tc>
        <w:tc>
          <w:tcPr>
            <w:tcW w:w="10140" w:type="dxa"/>
            <w:vAlign w:val="bottom"/>
            <w:gridSpan w:val="55"/>
          </w:tcPr>
          <w:p>
            <w:pPr>
              <w:spacing w:after="0"/>
              <w:rPr>
                <w:sz w:val="20"/>
                <w:szCs w:val="20"/>
                <w:color w:val="auto"/>
              </w:rPr>
            </w:pPr>
            <w:r>
              <w:rPr>
                <w:rFonts w:ascii="Times New Roman" w:cs="Times New Roman" w:eastAsia="Times New Roman" w:hAnsi="Times New Roman"/>
                <w:sz w:val="18"/>
                <w:szCs w:val="18"/>
                <w:color w:val="0000FF"/>
              </w:rPr>
              <w:t>Pro-Kidney Corp. Non-Employee Director Compensation Policy, as amended.</w:t>
            </w:r>
          </w:p>
        </w:tc>
      </w:tr>
      <w:tr>
        <w:trPr>
          <w:trHeight w:val="20"/>
        </w:trPr>
        <w:tc>
          <w:tcPr>
            <w:tcW w:w="110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gridSpan w:val="3"/>
            <w:shd w:val="clear" w:color="auto" w:fill="0000FF"/>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15"/>
          </w:tcPr>
          <w:p>
            <w:pPr>
              <w:spacing w:after="0" w:line="20" w:lineRule="exact"/>
              <w:rPr>
                <w:sz w:val="1"/>
                <w:szCs w:val="1"/>
                <w:color w:val="auto"/>
              </w:rPr>
            </w:pPr>
          </w:p>
        </w:tc>
      </w:tr>
      <w:tr>
        <w:trPr>
          <w:trHeight w:val="263"/>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10.22*</w:t>
            </w:r>
          </w:p>
        </w:tc>
        <w:tc>
          <w:tcPr>
            <w:tcW w:w="10100" w:type="dxa"/>
            <w:vAlign w:val="bottom"/>
            <w:tcBorders>
              <w:bottom w:val="single" w:sz="8" w:color="0000FF"/>
            </w:tcBorders>
            <w:gridSpan w:val="54"/>
          </w:tcPr>
          <w:p>
            <w:pPr>
              <w:spacing w:after="0"/>
              <w:rPr>
                <w:sz w:val="20"/>
                <w:szCs w:val="20"/>
                <w:color w:val="auto"/>
              </w:rPr>
            </w:pPr>
            <w:r>
              <w:rPr>
                <w:rFonts w:ascii="Times New Roman" w:cs="Times New Roman" w:eastAsia="Times New Roman" w:hAnsi="Times New Roman"/>
                <w:sz w:val="18"/>
                <w:szCs w:val="18"/>
                <w:color w:val="0000FF"/>
              </w:rPr>
              <w:t>Assignment and Assumption of Purchase and Sale Agreement, dated November 25, 2024, by and among ProKidney Acquisition Company,</w:t>
            </w:r>
          </w:p>
        </w:tc>
        <w:tc>
          <w:tcPr>
            <w:tcW w:w="40" w:type="dxa"/>
            <w:vAlign w:val="bottom"/>
          </w:tcPr>
          <w:p>
            <w:pPr>
              <w:spacing w:after="0"/>
              <w:rPr>
                <w:sz w:val="22"/>
                <w:szCs w:val="22"/>
                <w:color w:val="auto"/>
              </w:rPr>
            </w:pPr>
          </w:p>
        </w:tc>
      </w:tr>
      <w:tr>
        <w:trPr>
          <w:trHeight w:val="196"/>
        </w:trPr>
        <w:tc>
          <w:tcPr>
            <w:tcW w:w="1100" w:type="dxa"/>
            <w:vAlign w:val="bottom"/>
          </w:tcPr>
          <w:p>
            <w:pPr>
              <w:spacing w:after="0"/>
              <w:rPr>
                <w:sz w:val="17"/>
                <w:szCs w:val="17"/>
                <w:color w:val="auto"/>
              </w:rPr>
            </w:pPr>
          </w:p>
        </w:tc>
        <w:tc>
          <w:tcPr>
            <w:tcW w:w="37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LLC. and ProKidney Acquisition Company II, LLC.</w:t>
            </w:r>
          </w:p>
        </w:tc>
        <w:tc>
          <w:tcPr>
            <w:tcW w:w="20" w:type="dxa"/>
            <w:vAlign w:val="bottom"/>
            <w:tcBorders>
              <w:bottom w:val="single" w:sz="8" w:color="0000EE"/>
            </w:tcBorders>
          </w:tcPr>
          <w:p>
            <w:pPr>
              <w:spacing w:after="0"/>
              <w:rPr>
                <w:sz w:val="17"/>
                <w:szCs w:val="17"/>
                <w:color w:val="auto"/>
              </w:rPr>
            </w:pPr>
          </w:p>
        </w:tc>
        <w:tc>
          <w:tcPr>
            <w:tcW w:w="6340" w:type="dxa"/>
            <w:vAlign w:val="bottom"/>
            <w:gridSpan w:val="36"/>
          </w:tcPr>
          <w:p>
            <w:pPr>
              <w:spacing w:after="0"/>
              <w:rPr>
                <w:sz w:val="17"/>
                <w:szCs w:val="17"/>
                <w:color w:val="auto"/>
              </w:rPr>
            </w:pPr>
          </w:p>
        </w:tc>
      </w:tr>
      <w:tr>
        <w:trPr>
          <w:trHeight w:val="263"/>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10.23*†</w:t>
            </w:r>
          </w:p>
        </w:tc>
        <w:tc>
          <w:tcPr>
            <w:tcW w:w="738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FF"/>
              </w:rPr>
              <w:t>Employment Agreement, dated April 11, 2023, by and between ProKidney, LLC and Todd Girolamo.</w:t>
            </w:r>
          </w:p>
        </w:tc>
        <w:tc>
          <w:tcPr>
            <w:tcW w:w="2760" w:type="dxa"/>
            <w:vAlign w:val="bottom"/>
            <w:gridSpan w:val="24"/>
          </w:tcPr>
          <w:p>
            <w:pPr>
              <w:spacing w:after="0"/>
              <w:rPr>
                <w:sz w:val="22"/>
                <w:szCs w:val="22"/>
                <w:color w:val="auto"/>
              </w:rPr>
            </w:pPr>
          </w:p>
        </w:tc>
      </w:tr>
      <w:tr>
        <w:trPr>
          <w:trHeight w:val="263"/>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19.1*</w:t>
            </w:r>
          </w:p>
        </w:tc>
        <w:tc>
          <w:tcPr>
            <w:tcW w:w="1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Insider Trading Policy</w:t>
            </w:r>
          </w:p>
        </w:tc>
        <w:tc>
          <w:tcPr>
            <w:tcW w:w="20" w:type="dxa"/>
            <w:vAlign w:val="bottom"/>
            <w:tcBorders>
              <w:bottom w:val="single" w:sz="8" w:color="0000EE"/>
            </w:tcBorders>
          </w:tcPr>
          <w:p>
            <w:pPr>
              <w:spacing w:after="0"/>
              <w:rPr>
                <w:sz w:val="22"/>
                <w:szCs w:val="22"/>
                <w:color w:val="auto"/>
              </w:rPr>
            </w:pPr>
          </w:p>
        </w:tc>
        <w:tc>
          <w:tcPr>
            <w:tcW w:w="8500" w:type="dxa"/>
            <w:vAlign w:val="bottom"/>
            <w:gridSpan w:val="46"/>
          </w:tcPr>
          <w:p>
            <w:pPr>
              <w:spacing w:after="0"/>
              <w:rPr>
                <w:sz w:val="22"/>
                <w:szCs w:val="22"/>
                <w:color w:val="auto"/>
              </w:rPr>
            </w:pPr>
          </w:p>
        </w:tc>
      </w:tr>
      <w:tr>
        <w:trPr>
          <w:trHeight w:val="264"/>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21.1*</w:t>
            </w:r>
          </w:p>
        </w:tc>
        <w:tc>
          <w:tcPr>
            <w:tcW w:w="21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Subsidiaries of the Registrant</w:t>
            </w:r>
          </w:p>
        </w:tc>
        <w:tc>
          <w:tcPr>
            <w:tcW w:w="20" w:type="dxa"/>
            <w:vAlign w:val="bottom"/>
            <w:tcBorders>
              <w:bottom w:val="single" w:sz="8" w:color="0000EE"/>
            </w:tcBorders>
          </w:tcPr>
          <w:p>
            <w:pPr>
              <w:spacing w:after="0"/>
              <w:rPr>
                <w:sz w:val="22"/>
                <w:szCs w:val="22"/>
                <w:color w:val="auto"/>
              </w:rPr>
            </w:pPr>
          </w:p>
        </w:tc>
        <w:tc>
          <w:tcPr>
            <w:tcW w:w="8000" w:type="dxa"/>
            <w:vAlign w:val="bottom"/>
            <w:gridSpan w:val="42"/>
          </w:tcPr>
          <w:p>
            <w:pPr>
              <w:spacing w:after="0"/>
              <w:rPr>
                <w:sz w:val="22"/>
                <w:szCs w:val="22"/>
                <w:color w:val="auto"/>
              </w:rPr>
            </w:pPr>
          </w:p>
        </w:tc>
      </w:tr>
      <w:tr>
        <w:trPr>
          <w:trHeight w:val="263"/>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23.1*</w:t>
            </w:r>
          </w:p>
        </w:tc>
        <w:tc>
          <w:tcPr>
            <w:tcW w:w="10140" w:type="dxa"/>
            <w:vAlign w:val="bottom"/>
            <w:gridSpan w:val="55"/>
          </w:tcPr>
          <w:p>
            <w:pPr>
              <w:spacing w:after="0"/>
              <w:rPr>
                <w:sz w:val="20"/>
                <w:szCs w:val="20"/>
                <w:color w:val="auto"/>
              </w:rPr>
            </w:pPr>
            <w:r>
              <w:rPr>
                <w:rFonts w:ascii="Times New Roman" w:cs="Times New Roman" w:eastAsia="Times New Roman" w:hAnsi="Times New Roman"/>
                <w:sz w:val="18"/>
                <w:szCs w:val="18"/>
                <w:color w:val="0000FF"/>
              </w:rPr>
              <w:t>Consent of Ernst &amp; Young LLP</w:t>
            </w:r>
          </w:p>
        </w:tc>
      </w:tr>
      <w:tr>
        <w:trPr>
          <w:trHeight w:val="20"/>
        </w:trPr>
        <w:tc>
          <w:tcPr>
            <w:tcW w:w="110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400" w:type="dxa"/>
            <w:vAlign w:val="bottom"/>
            <w:tcBorders>
              <w:right w:val="single" w:sz="8" w:color="0000EE"/>
            </w:tcBorders>
            <w:gridSpan w:val="11"/>
            <w:shd w:val="clear" w:color="auto" w:fill="0000FF"/>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gridSpan w:val="1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15"/>
          </w:tcPr>
          <w:p>
            <w:pPr>
              <w:spacing w:after="0" w:line="20" w:lineRule="exact"/>
              <w:rPr>
                <w:sz w:val="1"/>
                <w:szCs w:val="1"/>
                <w:color w:val="auto"/>
              </w:rPr>
            </w:pPr>
          </w:p>
        </w:tc>
      </w:tr>
      <w:tr>
        <w:trPr>
          <w:trHeight w:val="263"/>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9660" w:type="dxa"/>
            <w:vAlign w:val="bottom"/>
            <w:tcBorders>
              <w:bottom w:val="single" w:sz="8" w:color="0000FF"/>
            </w:tcBorders>
            <w:gridSpan w:val="4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80" w:type="dxa"/>
            <w:vAlign w:val="bottom"/>
            <w:gridSpan w:val="15"/>
          </w:tcPr>
          <w:p>
            <w:pPr>
              <w:spacing w:after="0"/>
              <w:rPr>
                <w:sz w:val="22"/>
                <w:szCs w:val="22"/>
                <w:color w:val="auto"/>
              </w:rPr>
            </w:pPr>
          </w:p>
        </w:tc>
      </w:tr>
      <w:tr>
        <w:trPr>
          <w:trHeight w:val="196"/>
        </w:trPr>
        <w:tc>
          <w:tcPr>
            <w:tcW w:w="1100" w:type="dxa"/>
            <w:vAlign w:val="bottom"/>
          </w:tcPr>
          <w:p>
            <w:pPr>
              <w:spacing w:after="0"/>
              <w:rPr>
                <w:sz w:val="17"/>
                <w:szCs w:val="17"/>
                <w:color w:val="auto"/>
              </w:rPr>
            </w:pPr>
          </w:p>
        </w:tc>
        <w:tc>
          <w:tcPr>
            <w:tcW w:w="498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40" w:type="dxa"/>
            <w:vAlign w:val="bottom"/>
            <w:gridSpan w:val="34"/>
          </w:tcPr>
          <w:p>
            <w:pPr>
              <w:spacing w:after="0"/>
              <w:rPr>
                <w:sz w:val="17"/>
                <w:szCs w:val="17"/>
                <w:color w:val="auto"/>
              </w:rPr>
            </w:pPr>
          </w:p>
        </w:tc>
      </w:tr>
      <w:tr>
        <w:trPr>
          <w:trHeight w:val="263"/>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960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40" w:type="dxa"/>
            <w:vAlign w:val="bottom"/>
            <w:gridSpan w:val="16"/>
          </w:tcPr>
          <w:p>
            <w:pPr>
              <w:spacing w:after="0"/>
              <w:rPr>
                <w:sz w:val="22"/>
                <w:szCs w:val="22"/>
                <w:color w:val="auto"/>
              </w:rPr>
            </w:pPr>
          </w:p>
        </w:tc>
      </w:tr>
      <w:tr>
        <w:trPr>
          <w:trHeight w:val="196"/>
        </w:trPr>
        <w:tc>
          <w:tcPr>
            <w:tcW w:w="1100" w:type="dxa"/>
            <w:vAlign w:val="bottom"/>
          </w:tcPr>
          <w:p>
            <w:pPr>
              <w:spacing w:after="0"/>
              <w:rPr>
                <w:sz w:val="17"/>
                <w:szCs w:val="17"/>
                <w:color w:val="auto"/>
              </w:rPr>
            </w:pPr>
          </w:p>
        </w:tc>
        <w:tc>
          <w:tcPr>
            <w:tcW w:w="498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40" w:type="dxa"/>
            <w:vAlign w:val="bottom"/>
            <w:gridSpan w:val="34"/>
          </w:tcPr>
          <w:p>
            <w:pPr>
              <w:spacing w:after="0"/>
              <w:rPr>
                <w:sz w:val="17"/>
                <w:szCs w:val="17"/>
                <w:color w:val="auto"/>
              </w:rPr>
            </w:pPr>
          </w:p>
        </w:tc>
      </w:tr>
      <w:tr>
        <w:trPr>
          <w:trHeight w:val="264"/>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10100" w:type="dxa"/>
            <w:vAlign w:val="bottom"/>
            <w:tcBorders>
              <w:bottom w:val="single" w:sz="8" w:color="0000FF"/>
            </w:tcBorders>
            <w:gridSpan w:val="5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40" w:type="dxa"/>
            <w:vAlign w:val="bottom"/>
          </w:tcPr>
          <w:p>
            <w:pPr>
              <w:spacing w:after="0"/>
              <w:rPr>
                <w:sz w:val="22"/>
                <w:szCs w:val="22"/>
                <w:color w:val="auto"/>
              </w:rPr>
            </w:pPr>
          </w:p>
        </w:tc>
      </w:tr>
      <w:tr>
        <w:trPr>
          <w:trHeight w:val="196"/>
        </w:trPr>
        <w:tc>
          <w:tcPr>
            <w:tcW w:w="1100" w:type="dxa"/>
            <w:vAlign w:val="bottom"/>
          </w:tcPr>
          <w:p>
            <w:pPr>
              <w:spacing w:after="0"/>
              <w:rPr>
                <w:sz w:val="17"/>
                <w:szCs w:val="17"/>
                <w:color w:val="auto"/>
              </w:rPr>
            </w:pPr>
          </w:p>
        </w:tc>
        <w:tc>
          <w:tcPr>
            <w:tcW w:w="9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9240" w:type="dxa"/>
            <w:vAlign w:val="bottom"/>
            <w:gridSpan w:val="52"/>
          </w:tcPr>
          <w:p>
            <w:pPr>
              <w:spacing w:after="0"/>
              <w:rPr>
                <w:sz w:val="17"/>
                <w:szCs w:val="17"/>
                <w:color w:val="auto"/>
              </w:rPr>
            </w:pPr>
          </w:p>
        </w:tc>
      </w:tr>
      <w:tr>
        <w:trPr>
          <w:trHeight w:val="236"/>
        </w:trPr>
        <w:tc>
          <w:tcPr>
            <w:tcW w:w="1100" w:type="dxa"/>
            <w:vAlign w:val="bottom"/>
          </w:tcPr>
          <w:p>
            <w:pPr>
              <w:spacing w:after="0"/>
              <w:rPr>
                <w:sz w:val="20"/>
                <w:szCs w:val="20"/>
                <w:color w:val="auto"/>
              </w:rPr>
            </w:pPr>
          </w:p>
        </w:tc>
        <w:tc>
          <w:tcPr>
            <w:tcW w:w="4980" w:type="dxa"/>
            <w:vAlign w:val="bottom"/>
            <w:gridSpan w:val="20"/>
          </w:tcPr>
          <w:p>
            <w:pPr>
              <w:ind w:left="4380"/>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763"/>
        </w:trPr>
        <w:tc>
          <w:tcPr>
            <w:tcW w:w="11240" w:type="dxa"/>
            <w:vAlign w:val="bottom"/>
            <w:tcBorders>
              <w:bottom w:val="single" w:sz="8" w:color="9A9A9A"/>
            </w:tcBorders>
            <w:gridSpan w:val="5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29" w:name="page130"/>
    <w:bookmarkEnd w:id="129"/>
    <w:tbl>
      <w:tblPr>
        <w:tblLayout w:type="fixed"/>
        <w:tblInd w:w="80" w:type="dxa"/>
        <w:tblCellMar>
          <w:top w:w="0" w:type="dxa"/>
          <w:left w:w="0" w:type="dxa"/>
          <w:bottom w:w="0" w:type="dxa"/>
          <w:right w:w="0" w:type="dxa"/>
        </w:tblCellMar>
      </w:tblPr>
      <w:tr>
        <w:trPr>
          <w:trHeight w:val="207"/>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32.2*</w:t>
            </w:r>
          </w:p>
        </w:tc>
        <w:tc>
          <w:tcPr>
            <w:tcW w:w="100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196"/>
        </w:trPr>
        <w:tc>
          <w:tcPr>
            <w:tcW w:w="10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120" w:type="dxa"/>
            <w:vAlign w:val="bottom"/>
          </w:tcPr>
          <w:p>
            <w:pPr>
              <w:spacing w:after="0"/>
              <w:rPr>
                <w:sz w:val="17"/>
                <w:szCs w:val="17"/>
                <w:color w:val="auto"/>
              </w:rPr>
            </w:pPr>
          </w:p>
        </w:tc>
      </w:tr>
    </w:tbl>
    <w:p>
      <w:pPr>
        <w:spacing w:after="0" w:line="76" w:lineRule="exact"/>
        <w:rPr>
          <w:sz w:val="20"/>
          <w:szCs w:val="20"/>
          <w:color w:val="auto"/>
        </w:rPr>
      </w:pPr>
    </w:p>
    <w:p>
      <w:pPr>
        <w:ind w:left="1100" w:right="120" w:hanging="1018"/>
        <w:spacing w:after="0" w:line="282" w:lineRule="auto"/>
        <w:tabs>
          <w:tab w:leader="none" w:pos="1100" w:val="left"/>
        </w:tabs>
        <w:numPr>
          <w:ilvl w:val="0"/>
          <w:numId w:val="86"/>
        </w:numPr>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ProKidney Corp. Clawback Policy (incorporated by reference from Exhibit 97 to Form 10-K filed with the SEC on March 22, 2024) (File</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No. 001-40560).</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695325</wp:posOffset>
            </wp:positionH>
            <wp:positionV relativeFrom="paragraph">
              <wp:posOffset>-185420</wp:posOffset>
            </wp:positionV>
            <wp:extent cx="63271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6327140" cy="8255"/>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-48260</wp:posOffset>
            </wp:positionV>
            <wp:extent cx="7581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758190" cy="825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216"/>
        </w:trPr>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4"/>
              </w:rPr>
              <w:t>101*</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materials from the Company’s Annual Report on Form 10-K for the year ended December 31, 2024, formatted in iXBRL</w:t>
            </w:r>
          </w:p>
        </w:tc>
      </w:tr>
      <w:tr>
        <w:trPr>
          <w:trHeight w:val="216"/>
        </w:trPr>
        <w:tc>
          <w:tcPr>
            <w:tcW w:w="68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Extensible Business Reporting Language):  (i) Consolidated Balance Sheets, (ii) Consolidated Statements of Operations, (iii)</w:t>
            </w:r>
          </w:p>
        </w:tc>
      </w:tr>
      <w:tr>
        <w:trPr>
          <w:trHeight w:val="216"/>
        </w:trPr>
        <w:tc>
          <w:tcPr>
            <w:tcW w:w="68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Statements of Comprehensive Loss, (iv) Consolidated Statements of Changes in Redeemable Noncontrolling Interest and</w:t>
            </w:r>
          </w:p>
        </w:tc>
      </w:tr>
      <w:tr>
        <w:trPr>
          <w:trHeight w:val="216"/>
        </w:trPr>
        <w:tc>
          <w:tcPr>
            <w:tcW w:w="68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Stockholders’ Deficit, (v) Consolidated Statements of Cash Flows and (vi) Notes to Consolidated Financial Statements, tagged as blocks of</w:t>
            </w:r>
          </w:p>
        </w:tc>
      </w:tr>
      <w:tr>
        <w:trPr>
          <w:trHeight w:val="234"/>
        </w:trPr>
        <w:tc>
          <w:tcPr>
            <w:tcW w:w="68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text and including detailed tags.</w:t>
            </w:r>
          </w:p>
        </w:tc>
      </w:tr>
      <w:tr>
        <w:trPr>
          <w:trHeight w:val="283"/>
        </w:trPr>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4"/>
              </w:rPr>
              <w:t>104*</w:t>
            </w:r>
          </w:p>
        </w:tc>
        <w:tc>
          <w:tcPr>
            <w:tcW w:w="10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cover page from this Annual Report on Form 10-K for the year ended December 31, 2024, formatted in Inline XBRL.</w:t>
            </w:r>
          </w:p>
        </w:tc>
      </w:tr>
    </w:tbl>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right="6700" w:firstLine="8"/>
        <w:spacing w:after="0" w:line="282" w:lineRule="auto"/>
        <w:tabs>
          <w:tab w:leader="none" w:pos="13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9512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rFonts w:ascii="Times New Roman" w:cs="Times New Roman" w:eastAsia="Times New Roman" w:hAnsi="Times New Roman"/>
          <w:sz w:val="18"/>
          <w:szCs w:val="18"/>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9" w:right="439" w:bottom="1440" w:gutter="0" w:footer="0" w:header="0"/>
        </w:sectPr>
      </w:pPr>
    </w:p>
    <w:bookmarkStart w:id="130" w:name="page131"/>
    <w:bookmarkEnd w:id="130"/>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PROKIDNEY CORP.</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17, 2025</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Bruce Culleton</w:t>
            </w:r>
          </w:p>
        </w:tc>
      </w:tr>
      <w:tr>
        <w:trPr>
          <w:trHeight w:val="187"/>
        </w:trPr>
        <w:tc>
          <w:tcPr>
            <w:tcW w:w="3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Bruce Culleton</w:t>
            </w:r>
          </w:p>
        </w:tc>
      </w:tr>
      <w:tr>
        <w:trPr>
          <w:trHeight w:val="238"/>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bl>
    <w:p>
      <w:pPr>
        <w:spacing w:after="0" w:line="9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089" w:right="339" w:bottom="1440" w:gutter="0" w:footer="0" w:header="0"/>
        </w:sectPr>
      </w:pPr>
    </w:p>
    <w:p>
      <w:pPr>
        <w:spacing w:after="0" w:line="18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571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6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Bruce Culleton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Bruce Culleton</w:t>
      </w:r>
    </w:p>
    <w:p>
      <w:pPr>
        <w:spacing w:after="0" w:line="8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James Coulston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James Coulston</w:t>
      </w:r>
    </w:p>
    <w:p>
      <w:pPr>
        <w:spacing w:after="0" w:line="8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Pablo Legorreta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Pablo Legorreta</w:t>
      </w:r>
    </w:p>
    <w:p>
      <w:pPr>
        <w:spacing w:after="0" w:line="8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William F.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William F. Doyle</w:t>
      </w:r>
    </w:p>
    <w:p>
      <w:pPr>
        <w:spacing w:after="0" w:line="8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Jennifer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Jennifer Fox</w:t>
      </w:r>
    </w:p>
    <w:p>
      <w:pPr>
        <w:spacing w:after="0" w:line="8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José Ignacio Jimenez Santos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571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José Ignacio Jimenez Santos</w:t>
      </w:r>
    </w:p>
    <w:p>
      <w:pPr>
        <w:spacing w:after="0" w:line="8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Alan M. Lotvin,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Alan M. Lotvin, M.D.</w:t>
      </w:r>
    </w:p>
    <w:p>
      <w:pPr>
        <w:spacing w:after="0" w:line="8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Brian J.G. Pereira,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Brian J.G. Pereira, M.D.</w:t>
      </w:r>
    </w:p>
    <w:p>
      <w:pPr>
        <w:spacing w:after="0" w:line="8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Uma Sinha,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Uma Sinha, Ph.D.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86"/>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2025</w:t>
            </w:r>
          </w:p>
        </w:tc>
      </w:tr>
      <w:tr>
        <w:trPr>
          <w:trHeight w:val="234"/>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9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2025</w:t>
            </w:r>
          </w:p>
        </w:tc>
      </w:tr>
      <w:tr>
        <w:trPr>
          <w:trHeight w:val="234"/>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11"/>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2025</w:t>
            </w:r>
          </w:p>
        </w:tc>
      </w:tr>
      <w:tr>
        <w:trPr>
          <w:trHeight w:val="526"/>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2025</w:t>
            </w:r>
          </w:p>
        </w:tc>
      </w:tr>
      <w:tr>
        <w:trPr>
          <w:trHeight w:val="52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2025</w:t>
            </w:r>
          </w:p>
        </w:tc>
      </w:tr>
      <w:tr>
        <w:trPr>
          <w:trHeight w:val="52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2025</w:t>
            </w:r>
          </w:p>
        </w:tc>
      </w:tr>
      <w:tr>
        <w:trPr>
          <w:trHeight w:val="526"/>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2025</w:t>
            </w:r>
          </w:p>
        </w:tc>
      </w:tr>
      <w:tr>
        <w:trPr>
          <w:trHeight w:val="52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2025</w:t>
            </w:r>
          </w:p>
        </w:tc>
      </w:tr>
      <w:tr>
        <w:trPr>
          <w:trHeight w:val="526"/>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2025</w:t>
            </w:r>
          </w:p>
        </w:tc>
      </w:tr>
    </w:tbl>
    <w:p>
      <w:pPr>
        <w:spacing w:after="0" w:line="393" w:lineRule="exact"/>
        <w:rPr>
          <w:sz w:val="20"/>
          <w:szCs w:val="20"/>
          <w:color w:val="auto"/>
        </w:rPr>
      </w:pPr>
    </w:p>
    <w:p>
      <w:pPr>
        <w:sectPr>
          <w:pgSz w:w="11900" w:h="16838" w:orient="portrait"/>
          <w:cols w:equalWidth="0" w:num="2">
            <w:col w:w="3120" w:space="720"/>
            <w:col w:w="7400"/>
          </w:cols>
          <w:pgMar w:left="320" w:top="1089" w:right="339" w:bottom="1440" w:gutter="0" w:footer="0" w:header="0"/>
          <w:type w:val="continuous"/>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31" w:name="page132"/>
    <w:bookmarkEnd w:id="131"/>
    <w:tbl>
      <w:tblPr>
        <w:tblLayout w:type="fixed"/>
        <w:tblInd w:w="1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1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ID:42)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412"/>
        </w:trPr>
        <w:tc>
          <w:tcPr>
            <w:tcW w:w="5460" w:type="dxa"/>
            <w:vAlign w:val="bottom"/>
            <w:tcBorders>
              <w:top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482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2640" w:type="dxa"/>
            <w:vAlign w:val="bottom"/>
            <w:tcBorders>
              <w:left w:val="single" w:sz="8" w:color="0000EE"/>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92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2024, 2023, and 2022</w:t>
            </w:r>
          </w:p>
        </w:tc>
        <w:tc>
          <w:tcPr>
            <w:tcW w:w="336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412"/>
        </w:trPr>
        <w:tc>
          <w:tcPr>
            <w:tcW w:w="102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years ended December 31, 2024, 2023, and 2022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2640" w:type="dxa"/>
            <w:vAlign w:val="bottom"/>
            <w:tcBorders>
              <w:left w:val="single" w:sz="8" w:color="0000EE"/>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60" w:type="dxa"/>
            <w:vAlign w:val="bottom"/>
            <w:gridSpan w:val="4"/>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8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Changes in Redeemable Noncontrolling Interest and Shareholders’ Deficit / Members’ Equity for the years ended</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29"/>
        </w:trPr>
        <w:tc>
          <w:tcPr>
            <w:tcW w:w="26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December 31, 2024, 2023, and 2022</w:t>
            </w:r>
          </w:p>
        </w:tc>
        <w:tc>
          <w:tcPr>
            <w:tcW w:w="7640" w:type="dxa"/>
            <w:vAlign w:val="bottom"/>
            <w:gridSpan w:val="7"/>
            <w:vMerge w:val="restart"/>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640" w:type="dxa"/>
            <w:vAlign w:val="bottom"/>
            <w:tcBorders>
              <w:bottom w:val="single" w:sz="8" w:color="0000FF"/>
            </w:tcBorders>
            <w:vMerge w:val="continue"/>
          </w:tcPr>
          <w:p>
            <w:pPr>
              <w:spacing w:after="0"/>
              <w:rPr>
                <w:sz w:val="5"/>
                <w:szCs w:val="5"/>
                <w:color w:val="auto"/>
              </w:rPr>
            </w:pPr>
          </w:p>
        </w:tc>
        <w:tc>
          <w:tcPr>
            <w:tcW w:w="7640" w:type="dxa"/>
            <w:vAlign w:val="bottom"/>
            <w:gridSpan w:val="7"/>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702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3260" w:type="dxa"/>
            <w:vAlign w:val="bottom"/>
            <w:gridSpan w:val="2"/>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c>
          <w:tcPr>
            <w:tcW w:w="0" w:type="dxa"/>
            <w:vAlign w:val="bottom"/>
          </w:tcPr>
          <w:p>
            <w:pPr>
              <w:spacing w:after="0"/>
              <w:rPr>
                <w:sz w:val="1"/>
                <w:szCs w:val="1"/>
                <w:color w:val="auto"/>
              </w:rPr>
            </w:pPr>
          </w:p>
        </w:tc>
      </w:tr>
      <w:tr>
        <w:trPr>
          <w:trHeight w:val="412"/>
        </w:trPr>
        <w:tc>
          <w:tcPr>
            <w:tcW w:w="102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F-14</w:t>
            </w:r>
          </w:p>
        </w:tc>
        <w:tc>
          <w:tcPr>
            <w:tcW w:w="0" w:type="dxa"/>
            <w:vAlign w:val="bottom"/>
          </w:tcPr>
          <w:p>
            <w:pPr>
              <w:spacing w:after="0"/>
              <w:rPr>
                <w:sz w:val="1"/>
                <w:szCs w:val="1"/>
                <w:color w:val="auto"/>
              </w:rPr>
            </w:pPr>
          </w:p>
        </w:tc>
      </w:tr>
      <w:tr>
        <w:trPr>
          <w:trHeight w:val="885"/>
        </w:trPr>
        <w:tc>
          <w:tcPr>
            <w:tcW w:w="26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6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2" w:name="page133"/>
    <w:bookmarkEnd w:id="132"/>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ProKidney Corp.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ProKidney Corp. (the Company) as of December 31, 2024 and 2023, the related consolidated statements of operations, comprehensive loss, changes in redeemable noncontrolling interest and shareholders’ deficit / members’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0"/>
                <w:szCs w:val="20"/>
                <w:color w:val="auto"/>
              </w:rPr>
            </w:pPr>
          </w:p>
        </w:tc>
        <w:tc>
          <w:tcPr>
            <w:tcW w:w="1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66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99,120</w:t>
            </w: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60,649</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259,172</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302,301</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receivable</w:t>
            </w: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assets</w:t>
            </w: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clinical</w:t>
            </w: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Assets held for sale</w:t>
            </w: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19,368</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r>
      <w:tr>
        <w:trPr>
          <w:trHeight w:val="210"/>
        </w:trPr>
        <w:tc>
          <w:tcPr>
            <w:tcW w:w="6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395,884</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374,146</w:t>
            </w:r>
          </w:p>
        </w:tc>
        <w:tc>
          <w:tcPr>
            <w:tcW w:w="100" w:type="dxa"/>
            <w:vAlign w:val="bottom"/>
            <w:shd w:val="clear" w:color="auto" w:fill="CFF0FC"/>
          </w:tcPr>
          <w:p>
            <w:pPr>
              <w:spacing w:after="0"/>
              <w:rPr>
                <w:sz w:val="18"/>
                <w:szCs w:val="18"/>
                <w:color w:val="auto"/>
              </w:rPr>
            </w:pPr>
          </w:p>
        </w:tc>
      </w:tr>
      <w:tr>
        <w:trPr>
          <w:trHeight w:val="43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2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42,143</w:t>
            </w:r>
          </w:p>
        </w:tc>
        <w:tc>
          <w:tcPr>
            <w:tcW w:w="100" w:type="dxa"/>
            <w:vAlign w:val="bottom"/>
          </w:tcPr>
          <w:p>
            <w:pPr>
              <w:spacing w:after="0"/>
              <w:rPr>
                <w:sz w:val="24"/>
                <w:szCs w:val="24"/>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22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3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shd w:val="clear" w:color="auto" w:fill="CFF0FC"/>
          </w:tcPr>
          <w:p>
            <w:pPr>
              <w:spacing w:after="0"/>
              <w:rPr>
                <w:sz w:val="18"/>
                <w:szCs w:val="18"/>
                <w:color w:val="auto"/>
              </w:rPr>
            </w:pPr>
          </w:p>
        </w:tc>
      </w:tr>
      <w:tr>
        <w:trPr>
          <w:trHeight w:val="210"/>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441,073</w:t>
            </w:r>
          </w:p>
        </w:tc>
        <w:tc>
          <w:tcPr>
            <w:tcW w:w="3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420,552</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17,665</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36,217</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25,038</w:t>
            </w:r>
          </w:p>
        </w:tc>
        <w:tc>
          <w:tcPr>
            <w:tcW w:w="100" w:type="dxa"/>
            <w:vAlign w:val="bottom"/>
          </w:tcPr>
          <w:p>
            <w:pPr>
              <w:spacing w:after="0"/>
              <w:rPr>
                <w:sz w:val="19"/>
                <w:szCs w:val="19"/>
                <w:color w:val="auto"/>
              </w:rPr>
            </w:pPr>
          </w:p>
        </w:tc>
      </w:tr>
      <w:tr>
        <w:trPr>
          <w:trHeight w:val="198"/>
        </w:trPr>
        <w:tc>
          <w:tcPr>
            <w:tcW w:w="6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 net of current portion</w:t>
            </w: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00" w:type="dxa"/>
            <w:vAlign w:val="bottom"/>
          </w:tcPr>
          <w:p>
            <w:pPr>
              <w:spacing w:after="0"/>
              <w:rPr>
                <w:sz w:val="18"/>
                <w:szCs w:val="18"/>
                <w:color w:val="auto"/>
              </w:rPr>
            </w:pPr>
          </w:p>
        </w:tc>
      </w:tr>
      <w:tr>
        <w:trPr>
          <w:trHeight w:val="209"/>
        </w:trPr>
        <w:tc>
          <w:tcPr>
            <w:tcW w:w="6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39,436</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29,216</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1,396,591</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1,494,732</w:t>
            </w:r>
          </w:p>
        </w:tc>
        <w:tc>
          <w:tcPr>
            <w:tcW w:w="100" w:type="dxa"/>
            <w:vAlign w:val="bottom"/>
            <w:shd w:val="clear" w:color="auto" w:fill="CFF0FC"/>
          </w:tcPr>
          <w:p>
            <w:pPr>
              <w:spacing w:after="0"/>
              <w:rPr>
                <w:sz w:val="18"/>
                <w:szCs w:val="18"/>
                <w:color w:val="auto"/>
              </w:rPr>
            </w:pPr>
          </w:p>
        </w:tc>
      </w:tr>
      <w:tr>
        <w:trPr>
          <w:trHeight w:val="43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deficit</w:t>
            </w: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660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500,000,000 shares</w:t>
            </w:r>
          </w:p>
        </w:tc>
        <w:tc>
          <w:tcPr>
            <w:tcW w:w="22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authorized; 128,054,417 and 59,880,347 issued and outstanding as</w:t>
            </w: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of December 31, 2024 and December 31, 2023, respectively</w:t>
            </w:r>
          </w:p>
        </w:tc>
        <w:tc>
          <w:tcPr>
            <w:tcW w:w="220" w:type="dxa"/>
            <w:vAlign w:val="bottom"/>
            <w:shd w:val="clear" w:color="auto" w:fill="CFF0FC"/>
          </w:tcPr>
          <w:p>
            <w:pPr>
              <w:spacing w:after="0"/>
              <w:rPr>
                <w:sz w:val="20"/>
                <w:szCs w:val="20"/>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0"/>
                <w:szCs w:val="20"/>
                <w:color w:val="auto"/>
              </w:rPr>
            </w:pPr>
          </w:p>
        </w:tc>
      </w:tr>
      <w:tr>
        <w:trPr>
          <w:trHeight w:val="198"/>
        </w:trPr>
        <w:tc>
          <w:tcPr>
            <w:tcW w:w="66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500,000,000 shares</w:t>
            </w: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authorized; 163,693,707 and 168,297,916 issued and outstanding as</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December 31, 2024 and December 31, 2023, respectively</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205,736</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36,114</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(1,200,849 )</w:t>
            </w:r>
          </w:p>
        </w:tc>
        <w:tc>
          <w:tcPr>
            <w:tcW w:w="22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(1,139,663 )</w:t>
            </w:r>
          </w:p>
        </w:tc>
      </w:tr>
      <w:tr>
        <w:trPr>
          <w:trHeight w:val="20"/>
        </w:trPr>
        <w:tc>
          <w:tcPr>
            <w:tcW w:w="66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220" w:type="dxa"/>
            <w:vAlign w:val="bottom"/>
          </w:tcPr>
          <w:p>
            <w:pPr>
              <w:spacing w:after="0"/>
              <w:rPr>
                <w:sz w:val="18"/>
                <w:szCs w:val="18"/>
                <w:color w:val="auto"/>
              </w:rPr>
            </w:pPr>
          </w:p>
        </w:tc>
        <w:tc>
          <w:tcPr>
            <w:tcW w:w="2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(994,954 )</w:t>
            </w:r>
          </w:p>
        </w:tc>
        <w:tc>
          <w:tcPr>
            <w:tcW w:w="22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(1,103,396 )</w:t>
            </w:r>
          </w:p>
        </w:tc>
      </w:tr>
      <w:tr>
        <w:trPr>
          <w:trHeight w:val="249"/>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 and shareholders' deficit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441,073</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420,552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-5459730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-5459730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-2802890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-2802890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-316865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4" w:name="page135"/>
    <w:bookmarkEnd w:id="134"/>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127,668</w:t>
            </w: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106,707</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82,070</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56,084</w:t>
            </w:r>
          </w:p>
        </w:tc>
        <w:tc>
          <w:tcPr>
            <w:tcW w:w="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44,815</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70,937</w:t>
            </w:r>
          </w:p>
        </w:tc>
        <w:tc>
          <w:tcPr>
            <w:tcW w:w="100" w:type="dxa"/>
            <w:vAlign w:val="bottom"/>
          </w:tcPr>
          <w:p>
            <w:pPr>
              <w:spacing w:after="0"/>
              <w:rPr>
                <w:sz w:val="18"/>
                <w:szCs w:val="18"/>
                <w:color w:val="auto"/>
              </w:rPr>
            </w:pPr>
          </w:p>
        </w:tc>
      </w:tr>
      <w:tr>
        <w:trPr>
          <w:trHeight w:val="209"/>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183,752</w:t>
            </w: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151,522</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153,007</w:t>
            </w:r>
          </w:p>
        </w:tc>
        <w:tc>
          <w:tcPr>
            <w:tcW w:w="100" w:type="dxa"/>
            <w:vAlign w:val="bottom"/>
            <w:shd w:val="clear" w:color="auto" w:fill="CFF0FC"/>
          </w:tcPr>
          <w:p>
            <w:pPr>
              <w:spacing w:after="0"/>
              <w:rPr>
                <w:sz w:val="18"/>
                <w:szCs w:val="18"/>
                <w:color w:val="auto"/>
              </w:rPr>
            </w:pPr>
          </w:p>
        </w:tc>
      </w:tr>
      <w:tr>
        <w:trPr>
          <w:trHeight w:val="23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20"/>
                <w:szCs w:val="20"/>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(183,676 )</w:t>
            </w:r>
          </w:p>
        </w:tc>
        <w:tc>
          <w:tcPr>
            <w:tcW w:w="2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(151,522 )</w:t>
            </w:r>
          </w:p>
        </w:tc>
        <w:tc>
          <w:tcPr>
            <w:tcW w:w="1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(153,007 )</w:t>
            </w:r>
          </w:p>
        </w:tc>
      </w:tr>
      <w:tr>
        <w:trPr>
          <w:trHeight w:val="198"/>
        </w:trPr>
        <w:tc>
          <w:tcPr>
            <w:tcW w:w="6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19,752</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(9 )</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(215 )</w:t>
            </w:r>
          </w:p>
        </w:tc>
      </w:tr>
      <w:tr>
        <w:trPr>
          <w:trHeight w:val="20"/>
        </w:trPr>
        <w:tc>
          <w:tcPr>
            <w:tcW w:w="6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4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(163,933 )</w:t>
            </w:r>
          </w:p>
        </w:tc>
        <w:tc>
          <w:tcPr>
            <w:tcW w:w="2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(129,451 )</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(147,239 )</w:t>
            </w:r>
          </w:p>
        </w:tc>
      </w:tr>
      <w:tr>
        <w:trPr>
          <w:trHeight w:val="216"/>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(598 )</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FF0FC"/>
          </w:tcPr>
          <w:p>
            <w:pPr>
              <w:spacing w:after="0"/>
              <w:rPr>
                <w:sz w:val="18"/>
                <w:szCs w:val="18"/>
                <w:color w:val="auto"/>
              </w:rPr>
            </w:pPr>
          </w:p>
        </w:tc>
      </w:tr>
      <w:tr>
        <w:trPr>
          <w:trHeight w:val="20"/>
        </w:trPr>
        <w:tc>
          <w:tcPr>
            <w:tcW w:w="6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24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(163,335 )</w:t>
            </w:r>
          </w:p>
        </w:tc>
        <w:tc>
          <w:tcPr>
            <w:tcW w:w="2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(135,447 )</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(148,135 )</w:t>
            </w:r>
          </w:p>
        </w:tc>
      </w:tr>
      <w:tr>
        <w:trPr>
          <w:trHeight w:val="216"/>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(102,149 )</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(99,979 )</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(40,103 )</w:t>
            </w:r>
          </w:p>
        </w:tc>
      </w:tr>
      <w:tr>
        <w:trPr>
          <w:trHeight w:val="20"/>
        </w:trPr>
        <w:tc>
          <w:tcPr>
            <w:tcW w:w="6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available to Class A ordinary shareholders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(61,186 )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(35,468 )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(108,032 )</w:t>
            </w:r>
          </w:p>
        </w:tc>
      </w:tr>
      <w:tr>
        <w:trPr>
          <w:trHeight w:val="20"/>
        </w:trPr>
        <w:tc>
          <w:tcPr>
            <w:tcW w:w="6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Class A ordinary shares outstanding:</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97,916,193</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61,714,225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61,540,231</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Class A ordinary shares: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(0.62 )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(0.23 )</w:t>
            </w:r>
          </w:p>
        </w:tc>
      </w:tr>
      <w:tr>
        <w:trPr>
          <w:trHeight w:val="20"/>
        </w:trPr>
        <w:tc>
          <w:tcPr>
            <w:tcW w:w="6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4860290</wp:posOffset>
            </wp:positionH>
            <wp:positionV relativeFrom="paragraph">
              <wp:posOffset>-1447800</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6000750</wp:posOffset>
            </wp:positionH>
            <wp:positionV relativeFrom="paragraph">
              <wp:posOffset>-1447800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6858000</wp:posOffset>
            </wp:positionH>
            <wp:positionV relativeFrom="paragraph">
              <wp:posOffset>-1447800</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4860290</wp:posOffset>
            </wp:positionH>
            <wp:positionV relativeFrom="paragraph">
              <wp:posOffset>-1165225</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6000750</wp:posOffset>
            </wp:positionH>
            <wp:positionV relativeFrom="paragraph">
              <wp:posOffset>-1165225</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6858000</wp:posOffset>
            </wp:positionH>
            <wp:positionV relativeFrom="paragraph">
              <wp:posOffset>-1165225</wp:posOffset>
            </wp:positionV>
            <wp:extent cx="5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4860290</wp:posOffset>
            </wp:positionH>
            <wp:positionV relativeFrom="paragraph">
              <wp:posOffset>-882015</wp:posOffset>
            </wp:positionV>
            <wp:extent cx="59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6000750</wp:posOffset>
            </wp:positionH>
            <wp:positionV relativeFrom="paragraph">
              <wp:posOffset>-882015</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6858000</wp:posOffset>
            </wp:positionH>
            <wp:positionV relativeFrom="paragraph">
              <wp:posOffset>-882015</wp:posOffset>
            </wp:positionV>
            <wp:extent cx="596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10" w:lineRule="exact"/>
        <w:rPr>
          <w:sz w:val="20"/>
          <w:szCs w:val="20"/>
          <w:color w:val="auto"/>
        </w:rPr>
      </w:pPr>
    </w:p>
    <w:p>
      <w:pPr>
        <w:ind w:left="-8" w:firstLine="8"/>
        <w:spacing w:after="0" w:line="462" w:lineRule="auto"/>
        <w:tabs>
          <w:tab w:leader="none" w:pos="177" w:val="left"/>
        </w:tabs>
        <w:numPr>
          <w:ilvl w:val="0"/>
          <w:numId w:val="8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year ended December 31, 2022, net loss per Class A ordinary share and weighted average Class A ordinary shares outstanding reflects the period from July 11, 2022 through December 31, 2022, the period following the Business Combination, as defined in Note 1. For more information refer to Note 9.</w:t>
      </w:r>
    </w:p>
    <w:p>
      <w:pPr>
        <w:spacing w:after="0" w:line="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473075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305" w:right="37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including noncontrolling interest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(163,335 )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(135,447 )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(148,135 )</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income (loss) on marketable securities</w:t>
            </w:r>
          </w:p>
        </w:tc>
        <w:tc>
          <w:tcPr>
            <w:tcW w:w="3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(200 )</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4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Pr>
          <w:p>
            <w:pPr>
              <w:spacing w:after="0"/>
              <w:rPr>
                <w:sz w:val="18"/>
                <w:szCs w:val="18"/>
                <w:color w:val="auto"/>
              </w:rPr>
            </w:pPr>
          </w:p>
        </w:tc>
        <w:tc>
          <w:tcPr>
            <w:tcW w:w="1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(200 )</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comprehensive loss including noncontrolling interest</w:t>
            </w:r>
          </w:p>
        </w:tc>
        <w:tc>
          <w:tcPr>
            <w:tcW w:w="3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(163,535 )</w:t>
            </w: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(134,950 )</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(148,135 )</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Total comprehensive loss attributable to noncontrolling interest</w:t>
            </w:r>
          </w:p>
        </w:tc>
        <w:tc>
          <w:tcPr>
            <w:tcW w:w="320" w:type="dxa"/>
            <w:vAlign w:val="bottom"/>
          </w:tcPr>
          <w:p>
            <w:pPr>
              <w:spacing w:after="0"/>
              <w:rPr>
                <w:sz w:val="18"/>
                <w:szCs w:val="18"/>
                <w:color w:val="auto"/>
              </w:rPr>
            </w:pPr>
          </w:p>
        </w:tc>
        <w:tc>
          <w:tcPr>
            <w:tcW w:w="1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(102,349 )</w:t>
            </w:r>
          </w:p>
        </w:tc>
        <w:tc>
          <w:tcPr>
            <w:tcW w:w="34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(99,612 )</w:t>
            </w: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(40,103 )</w:t>
            </w:r>
          </w:p>
        </w:tc>
      </w:tr>
      <w:tr>
        <w:trPr>
          <w:trHeight w:val="20"/>
        </w:trPr>
        <w:tc>
          <w:tcPr>
            <w:tcW w:w="5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comprehensive loss attributable to Class A ordinary shareholders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(61,186 )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(35,338 )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(108,032 )</w:t>
            </w: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-590550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5506720</wp:posOffset>
            </wp:positionH>
            <wp:positionV relativeFrom="paragraph">
              <wp:posOffset>-590550</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-590550</wp:posOffset>
            </wp:positionV>
            <wp:extent cx="596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-24765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-7620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5506720</wp:posOffset>
            </wp:positionH>
            <wp:positionV relativeFrom="paragraph">
              <wp:posOffset>-24765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5506720</wp:posOffset>
            </wp:positionH>
            <wp:positionV relativeFrom="paragraph">
              <wp:posOffset>-7620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-24765</wp:posOffset>
            </wp:positionV>
            <wp:extent cx="596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-7620</wp:posOffset>
            </wp:positionV>
            <wp:extent cx="596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473075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1305" w:right="67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Redeemable Noncontrolling Interest and Shareholders’ Deficit / Members’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473075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40"/>
          </w:cols>
          <w:pgMar w:left="1280" w:top="981" w:right="1279" w:bottom="1440" w:gutter="0" w:footer="0" w:header="0"/>
        </w:sectPr>
      </w:pPr>
    </w:p>
    <w:bookmarkStart w:id="137" w:name="page138"/>
    <w:bookmarkEnd w:id="137"/>
    <w:p>
      <w:pPr>
        <w:ind w:left="546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27305</wp:posOffset>
            </wp:positionV>
            <wp:extent cx="51949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ectPr>
          <w:pgSz w:w="11900" w:h="16838" w:orient="portrait"/>
          <w:cols w:equalWidth="0" w:num="1">
            <w:col w:w="11180"/>
          </w:cols>
          <w:pgMar w:left="340" w:top="98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Class A Units</w:t>
            </w:r>
          </w:p>
        </w:tc>
        <w:tc>
          <w:tcPr>
            <w:tcW w:w="0" w:type="dxa"/>
            <w:vAlign w:val="bottom"/>
          </w:tcPr>
          <w:p>
            <w:pPr>
              <w:spacing w:after="0"/>
              <w:rPr>
                <w:sz w:val="1"/>
                <w:szCs w:val="1"/>
                <w:color w:val="auto"/>
              </w:rPr>
            </w:pPr>
          </w:p>
        </w:tc>
      </w:tr>
      <w:tr>
        <w:trPr>
          <w:trHeight w:val="403"/>
        </w:trPr>
        <w:tc>
          <w:tcPr>
            <w:tcW w:w="2920" w:type="dxa"/>
            <w:vAlign w:val="bottom"/>
          </w:tcPr>
          <w:p>
            <w:pPr>
              <w:spacing w:after="0"/>
              <w:rPr>
                <w:sz w:val="24"/>
                <w:szCs w:val="24"/>
                <w:color w:val="auto"/>
              </w:rPr>
            </w:pPr>
          </w:p>
        </w:tc>
        <w:tc>
          <w:tcPr>
            <w:tcW w:w="60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Red</w:t>
            </w: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60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eem</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60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able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60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60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60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rolli</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6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ng</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60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Inte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Amo</w:t>
            </w: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p>
        </w:tc>
        <w:tc>
          <w:tcPr>
            <w:tcW w:w="60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rest</w:t>
            </w:r>
          </w:p>
        </w:tc>
        <w:tc>
          <w:tcPr>
            <w:tcW w:w="10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2"/>
              </w:rPr>
              <w:t>unt</w:t>
            </w: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60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920" w:type="dxa"/>
            <w:vAlign w:val="bottom"/>
            <w:vMerge w:val="continue"/>
          </w:tcPr>
          <w:p>
            <w:pPr>
              <w:spacing w:after="0"/>
              <w:rPr>
                <w:sz w:val="11"/>
                <w:szCs w:val="11"/>
                <w:color w:val="auto"/>
              </w:rPr>
            </w:pPr>
          </w:p>
        </w:tc>
        <w:tc>
          <w:tcPr>
            <w:tcW w:w="60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36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contribution</w:t>
            </w:r>
          </w:p>
        </w:tc>
        <w:tc>
          <w:tcPr>
            <w:tcW w:w="60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9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Equity-based compensation /</w:t>
            </w:r>
          </w:p>
        </w:tc>
        <w:tc>
          <w:tcPr>
            <w:tcW w:w="60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9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prior to Business</w:t>
            </w:r>
          </w:p>
        </w:tc>
        <w:tc>
          <w:tcPr>
            <w:tcW w:w="3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Combination</w:t>
            </w:r>
          </w:p>
        </w:tc>
        <w:tc>
          <w:tcPr>
            <w:tcW w:w="6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prior to the Business</w:t>
            </w:r>
          </w:p>
        </w:tc>
        <w:tc>
          <w:tcPr>
            <w:tcW w:w="3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Combination</w:t>
            </w:r>
          </w:p>
        </w:tc>
        <w:tc>
          <w:tcPr>
            <w:tcW w:w="6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the Business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Combination, including net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of shares sold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through the PIPE transaction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 after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Business Combination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Class B restricted stock</w:t>
            </w:r>
          </w:p>
        </w:tc>
        <w:tc>
          <w:tcPr>
            <w:tcW w:w="3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w:t>
            </w:r>
          </w:p>
        </w:tc>
        <w:tc>
          <w:tcPr>
            <w:tcW w:w="6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22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2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0"/>
                <w:szCs w:val="20"/>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Accu</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mula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holder</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w:t>
            </w: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ional</w:t>
            </w: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w:t>
            </w:r>
          </w:p>
        </w:tc>
        <w:tc>
          <w:tcPr>
            <w:tcW w:w="220" w:type="dxa"/>
            <w:vAlign w:val="bottom"/>
          </w:tcPr>
          <w:p>
            <w:pPr>
              <w:spacing w:after="0"/>
              <w:rPr>
                <w:sz w:val="18"/>
                <w:szCs w:val="18"/>
                <w:color w:val="auto"/>
              </w:rPr>
            </w:pPr>
          </w:p>
        </w:tc>
        <w:tc>
          <w:tcPr>
            <w:tcW w:w="7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Accu</w:t>
            </w:r>
          </w:p>
        </w:tc>
        <w:tc>
          <w:tcPr>
            <w:tcW w:w="100" w:type="dxa"/>
            <w:vAlign w:val="bottom"/>
          </w:tcPr>
          <w:p>
            <w:pPr>
              <w:spacing w:after="0"/>
              <w:rPr>
                <w:sz w:val="18"/>
                <w:szCs w:val="18"/>
                <w:color w:val="auto"/>
              </w:rPr>
            </w:pPr>
          </w:p>
        </w:tc>
        <w:tc>
          <w:tcPr>
            <w:tcW w:w="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Profi</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Paid-</w:t>
            </w: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w:t>
            </w:r>
          </w:p>
        </w:tc>
        <w:tc>
          <w:tcPr>
            <w:tcW w:w="220" w:type="dxa"/>
            <w:vAlign w:val="bottom"/>
          </w:tcPr>
          <w:p>
            <w:pPr>
              <w:spacing w:after="0"/>
              <w:rPr>
                <w:sz w:val="18"/>
                <w:szCs w:val="18"/>
                <w:color w:val="auto"/>
              </w:rPr>
            </w:pPr>
          </w:p>
        </w:tc>
        <w:tc>
          <w:tcPr>
            <w:tcW w:w="7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mulat</w:t>
            </w:r>
          </w:p>
        </w:tc>
        <w:tc>
          <w:tcPr>
            <w:tcW w:w="6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Memb</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ts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prehe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100" w:type="dxa"/>
            <w:vAlign w:val="bottom"/>
          </w:tcPr>
          <w:p>
            <w:pPr>
              <w:spacing w:after="0"/>
              <w:rPr>
                <w:sz w:val="18"/>
                <w:szCs w:val="18"/>
                <w:color w:val="auto"/>
              </w:rPr>
            </w:pPr>
          </w:p>
        </w:tc>
        <w:tc>
          <w:tcPr>
            <w:tcW w:w="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ers'</w:t>
            </w:r>
          </w:p>
        </w:tc>
        <w:tc>
          <w:tcPr>
            <w:tcW w:w="0" w:type="dxa"/>
            <w:vAlign w:val="bottom"/>
          </w:tcPr>
          <w:p>
            <w:pPr>
              <w:spacing w:after="0"/>
              <w:rPr>
                <w:sz w:val="1"/>
                <w:szCs w:val="1"/>
                <w:color w:val="auto"/>
              </w:rPr>
            </w:pPr>
          </w:p>
        </w:tc>
      </w:tr>
      <w:tr>
        <w:trPr>
          <w:trHeight w:val="216"/>
        </w:trPr>
        <w:tc>
          <w:tcPr>
            <w:tcW w:w="7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Inter</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w:t>
            </w:r>
          </w:p>
        </w:tc>
        <w:tc>
          <w:tcPr>
            <w:tcW w:w="2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Capit</w:t>
            </w: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nsive</w:t>
            </w:r>
          </w:p>
        </w:tc>
        <w:tc>
          <w:tcPr>
            <w:tcW w:w="220" w:type="dxa"/>
            <w:vAlign w:val="bottom"/>
          </w:tcPr>
          <w:p>
            <w:pPr>
              <w:spacing w:after="0"/>
              <w:rPr>
                <w:sz w:val="18"/>
                <w:szCs w:val="18"/>
                <w:color w:val="auto"/>
              </w:rPr>
            </w:pPr>
          </w:p>
        </w:tc>
        <w:tc>
          <w:tcPr>
            <w:tcW w:w="7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Defici</w:t>
            </w:r>
          </w:p>
        </w:tc>
        <w:tc>
          <w:tcPr>
            <w:tcW w:w="6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Equit</w:t>
            </w:r>
          </w:p>
        </w:tc>
        <w:tc>
          <w:tcPr>
            <w:tcW w:w="0" w:type="dxa"/>
            <w:vAlign w:val="bottom"/>
          </w:tcPr>
          <w:p>
            <w:pPr>
              <w:spacing w:after="0"/>
              <w:rPr>
                <w:sz w:val="1"/>
                <w:szCs w:val="1"/>
                <w:color w:val="auto"/>
              </w:rPr>
            </w:pPr>
          </w:p>
        </w:tc>
      </w:tr>
      <w:tr>
        <w:trPr>
          <w:trHeight w:val="238"/>
        </w:trPr>
        <w:tc>
          <w:tcPr>
            <w:tcW w:w="7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ests</w:t>
            </w: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es</w:t>
            </w:r>
          </w:p>
        </w:tc>
        <w:tc>
          <w:tcPr>
            <w:tcW w:w="22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unt</w:t>
            </w:r>
          </w:p>
        </w:tc>
        <w:tc>
          <w:tcPr>
            <w:tcW w:w="2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es</w:t>
            </w:r>
          </w:p>
        </w:tc>
        <w:tc>
          <w:tcPr>
            <w:tcW w:w="22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unt</w:t>
            </w:r>
          </w:p>
        </w:tc>
        <w:tc>
          <w:tcPr>
            <w:tcW w:w="22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w:t>
            </w:r>
          </w:p>
        </w:tc>
        <w:tc>
          <w:tcPr>
            <w:tcW w:w="20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w:t>
            </w:r>
          </w:p>
        </w:tc>
        <w:tc>
          <w:tcPr>
            <w:tcW w:w="100" w:type="dxa"/>
            <w:vAlign w:val="bottom"/>
          </w:tcPr>
          <w:p>
            <w:pPr>
              <w:spacing w:after="0"/>
              <w:rPr>
                <w:sz w:val="20"/>
                <w:szCs w:val="20"/>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y</w:t>
            </w:r>
          </w:p>
        </w:tc>
        <w:tc>
          <w:tcPr>
            <w:tcW w:w="0" w:type="dxa"/>
            <w:vAlign w:val="bottom"/>
          </w:tcPr>
          <w:p>
            <w:pPr>
              <w:spacing w:after="0"/>
              <w:rPr>
                <w:sz w:val="1"/>
                <w:szCs w:val="1"/>
                <w:color w:val="auto"/>
              </w:rPr>
            </w:pPr>
          </w:p>
        </w:tc>
      </w:tr>
      <w:tr>
        <w:trPr>
          <w:trHeight w:val="263"/>
        </w:trPr>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(161</w:t>
            </w:r>
          </w:p>
        </w:tc>
        <w:tc>
          <w:tcPr>
            <w:tcW w:w="2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0"/>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40"/>
              <w:spacing w:after="0" w:line="359" w:lineRule="exact"/>
              <w:rPr>
                <w:sz w:val="20"/>
                <w:szCs w:val="20"/>
                <w:color w:val="auto"/>
              </w:rPr>
            </w:pPr>
            <w:r>
              <w:rPr>
                <w:rFonts w:ascii="Times New Roman" w:cs="Times New Roman" w:eastAsia="Times New Roman" w:hAnsi="Times New Roman"/>
                <w:sz w:val="18"/>
                <w:szCs w:val="18"/>
                <w:color w:val="auto"/>
                <w:w w:val="95"/>
              </w:rPr>
              <w:t xml:space="preserve">,510 </w:t>
            </w:r>
            <w:r>
              <w:rPr>
                <w:rFonts w:ascii="Times New Roman" w:cs="Times New Roman" w:eastAsia="Times New Roman" w:hAnsi="Times New Roman"/>
                <w:sz w:val="35"/>
                <w:szCs w:val="35"/>
                <w:color w:val="auto"/>
                <w:w w:val="95"/>
                <w:vertAlign w:val="super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632 )</w:t>
            </w: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644 )</w:t>
            </w: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,574 )</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5"/>
              </w:rPr>
              <w:t>F-7</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-2605405</wp:posOffset>
            </wp:positionV>
            <wp:extent cx="7132320" cy="4114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-1919605</wp:posOffset>
            </wp:positionV>
            <wp:extent cx="7132320" cy="4114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-1233805</wp:posOffset>
            </wp:positionV>
            <wp:extent cx="7132320" cy="548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-410845</wp:posOffset>
            </wp:positionV>
            <wp:extent cx="7132320" cy="274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467360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900" w:space="140"/>
            <w:col w:w="6140"/>
          </w:cols>
          <w:pgMar w:left="340" w:top="981" w:right="379" w:bottom="1440" w:gutter="0" w:footer="0" w:header="0"/>
          <w:type w:val="continuous"/>
        </w:sectPr>
      </w:pPr>
    </w:p>
    <w:bookmarkStart w:id="138" w:name="page139"/>
    <w:bookmarkEnd w:id="138"/>
    <w:p>
      <w:pPr>
        <w:ind w:left="180" w:right="80"/>
        <w:spacing w:after="0" w:line="312" w:lineRule="auto"/>
        <w:rPr>
          <w:sz w:val="20"/>
          <w:szCs w:val="20"/>
          <w:color w:val="auto"/>
        </w:rPr>
      </w:pPr>
      <w:r>
        <w:rPr>
          <w:rFonts w:ascii="Times New Roman" w:cs="Times New Roman" w:eastAsia="Times New Roman" w:hAnsi="Times New Roman"/>
          <w:sz w:val="17"/>
          <w:szCs w:val="17"/>
          <w:color w:val="auto"/>
        </w:rPr>
        <w:t>Impact of equity transactions on redeemable noncontrolling interest</w:t>
      </w:r>
    </w:p>
    <w:p>
      <w:pPr>
        <w:spacing w:after="0" w:line="32" w:lineRule="exact"/>
        <w:rPr>
          <w:sz w:val="20"/>
          <w:szCs w:val="20"/>
          <w:color w:val="auto"/>
        </w:rPr>
      </w:pPr>
    </w:p>
    <w:p>
      <w:pPr>
        <w:ind w:left="180" w:right="660"/>
        <w:spacing w:after="0" w:line="282" w:lineRule="auto"/>
        <w:rPr>
          <w:sz w:val="20"/>
          <w:szCs w:val="20"/>
          <w:color w:val="auto"/>
        </w:rPr>
      </w:pPr>
      <w:r>
        <w:rPr>
          <w:rFonts w:ascii="Times New Roman" w:cs="Times New Roman" w:eastAsia="Times New Roman" w:hAnsi="Times New Roman"/>
          <w:sz w:val="18"/>
          <w:szCs w:val="18"/>
          <w:color w:val="auto"/>
        </w:rPr>
        <w:t>Net loss after the Business Combination</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December 31, 2022</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Issuance of Class A ordinary shares</w:t>
      </w:r>
    </w:p>
    <w:p>
      <w:pPr>
        <w:spacing w:after="0" w:line="225" w:lineRule="exact"/>
        <w:rPr>
          <w:sz w:val="20"/>
          <w:szCs w:val="20"/>
          <w:color w:val="auto"/>
        </w:rPr>
      </w:pPr>
    </w:p>
    <w:p>
      <w:pPr>
        <w:ind w:left="180" w:right="80"/>
        <w:spacing w:after="0" w:line="282" w:lineRule="auto"/>
        <w:rPr>
          <w:sz w:val="20"/>
          <w:szCs w:val="20"/>
          <w:color w:val="auto"/>
        </w:rPr>
      </w:pPr>
      <w:r>
        <w:rPr>
          <w:rFonts w:ascii="Times New Roman" w:cs="Times New Roman" w:eastAsia="Times New Roman" w:hAnsi="Times New Roman"/>
          <w:sz w:val="18"/>
          <w:szCs w:val="18"/>
          <w:color w:val="auto"/>
        </w:rPr>
        <w:t>Vesting of Class B restricted stock rights</w:t>
      </w:r>
    </w:p>
    <w:p>
      <w:pPr>
        <w:spacing w:after="0" w:line="162" w:lineRule="exact"/>
        <w:rPr>
          <w:sz w:val="20"/>
          <w:szCs w:val="20"/>
          <w:color w:val="auto"/>
        </w:rPr>
      </w:pPr>
    </w:p>
    <w:p>
      <w:pPr>
        <w:ind w:left="180" w:right="120"/>
        <w:spacing w:after="0" w:line="312" w:lineRule="auto"/>
        <w:rPr>
          <w:sz w:val="20"/>
          <w:szCs w:val="20"/>
          <w:color w:val="auto"/>
        </w:rPr>
      </w:pPr>
      <w:r>
        <w:rPr>
          <w:rFonts w:ascii="Times New Roman" w:cs="Times New Roman" w:eastAsia="Times New Roman" w:hAnsi="Times New Roman"/>
          <w:sz w:val="17"/>
          <w:szCs w:val="17"/>
          <w:color w:val="auto"/>
        </w:rPr>
        <w:t>Exchange of Class B ordinary shares for Class A ordinary shares</w:t>
      </w:r>
    </w:p>
    <w:p>
      <w:pPr>
        <w:spacing w:after="0" w:line="140" w:lineRule="exact"/>
        <w:rPr>
          <w:sz w:val="20"/>
          <w:szCs w:val="20"/>
          <w:color w:val="auto"/>
        </w:rPr>
      </w:pPr>
    </w:p>
    <w:p>
      <w:pPr>
        <w:ind w:left="180" w:right="280"/>
        <w:spacing w:after="0" w:line="282" w:lineRule="auto"/>
        <w:rPr>
          <w:sz w:val="20"/>
          <w:szCs w:val="20"/>
          <w:color w:val="auto"/>
        </w:rPr>
      </w:pPr>
      <w:r>
        <w:rPr>
          <w:rFonts w:ascii="Times New Roman" w:cs="Times New Roman" w:eastAsia="Times New Roman" w:hAnsi="Times New Roman"/>
          <w:sz w:val="18"/>
          <w:szCs w:val="18"/>
          <w:color w:val="auto"/>
        </w:rPr>
        <w:t>Repurchase of Class A ordinary shares</w:t>
      </w:r>
    </w:p>
    <w:p>
      <w:pPr>
        <w:spacing w:after="0" w:line="162" w:lineRule="exact"/>
        <w:rPr>
          <w:sz w:val="20"/>
          <w:szCs w:val="20"/>
          <w:color w:val="auto"/>
        </w:rPr>
      </w:pPr>
    </w:p>
    <w:p>
      <w:pPr>
        <w:ind w:left="180" w:right="80"/>
        <w:spacing w:after="0" w:line="312" w:lineRule="auto"/>
        <w:rPr>
          <w:sz w:val="20"/>
          <w:szCs w:val="20"/>
          <w:color w:val="auto"/>
        </w:rPr>
      </w:pPr>
      <w:r>
        <w:rPr>
          <w:rFonts w:ascii="Times New Roman" w:cs="Times New Roman" w:eastAsia="Times New Roman" w:hAnsi="Times New Roman"/>
          <w:sz w:val="17"/>
          <w:szCs w:val="17"/>
          <w:color w:val="auto"/>
        </w:rPr>
        <w:t>Impact of equity transactions on redeemable noncontrolling interest</w:t>
      </w:r>
    </w:p>
    <w:p>
      <w:pPr>
        <w:spacing w:after="0" w:line="32" w:lineRule="exact"/>
        <w:rPr>
          <w:sz w:val="20"/>
          <w:szCs w:val="20"/>
          <w:color w:val="auto"/>
        </w:rPr>
      </w:pPr>
    </w:p>
    <w:p>
      <w:pPr>
        <w:ind w:left="180" w:right="360"/>
        <w:spacing w:after="0" w:line="282" w:lineRule="auto"/>
        <w:rPr>
          <w:sz w:val="20"/>
          <w:szCs w:val="20"/>
          <w:color w:val="auto"/>
        </w:rPr>
      </w:pPr>
      <w:r>
        <w:rPr>
          <w:rFonts w:ascii="Times New Roman" w:cs="Times New Roman" w:eastAsia="Times New Roman" w:hAnsi="Times New Roman"/>
          <w:sz w:val="18"/>
          <w:szCs w:val="18"/>
          <w:color w:val="auto"/>
        </w:rPr>
        <w:t>Unrealized gain on marketable securities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8"/>
                <w:szCs w:val="18"/>
                <w:color w:val="auto"/>
              </w:rPr>
            </w:pP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4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8"/>
                <w:szCs w:val="18"/>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8"/>
                <w:szCs w:val="18"/>
                <w:color w:val="auto"/>
              </w:rPr>
            </w:pPr>
          </w:p>
        </w:tc>
      </w:tr>
      <w:tr>
        <w:trPr>
          <w:trHeight w:val="234"/>
        </w:trPr>
        <w:tc>
          <w:tcPr>
            <w:tcW w:w="5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0"/>
                <w:szCs w:val="20"/>
                <w:color w:val="auto"/>
              </w:rPr>
            </w:pP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4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400 )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191"/>
        </w:trPr>
        <w:tc>
          <w:tcPr>
            <w:tcW w:w="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4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6,616 )</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80" w:type="dxa"/>
            <w:vAlign w:val="bottom"/>
          </w:tcPr>
          <w:p>
            <w:pPr>
              <w:spacing w:after="0"/>
              <w:rPr>
                <w:sz w:val="18"/>
                <w:szCs w:val="18"/>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4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4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4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8"/>
                <w:szCs w:val="18"/>
                <w:color w:val="auto"/>
              </w:rPr>
            </w:pP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4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83 )</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tcPr>
          <w:p>
            <w:pPr>
              <w:spacing w:after="0"/>
              <w:rPr>
                <w:sz w:val="18"/>
                <w:szCs w:val="18"/>
                <w:color w:val="auto"/>
              </w:rPr>
            </w:pPr>
          </w:p>
        </w:tc>
      </w:tr>
      <w:tr>
        <w:trPr>
          <w:trHeight w:val="216"/>
        </w:trPr>
        <w:tc>
          <w:tcPr>
            <w:tcW w:w="5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4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67 )</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8"/>
                <w:szCs w:val="18"/>
                <w:color w:val="auto"/>
              </w:rPr>
            </w:pP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4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80" w:type="dxa"/>
            <w:vAlign w:val="bottom"/>
          </w:tcPr>
          <w:p>
            <w:pPr>
              <w:spacing w:after="0"/>
              <w:rPr>
                <w:sz w:val="18"/>
                <w:szCs w:val="18"/>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4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18"/>
                <w:szCs w:val="18"/>
                <w:color w:val="auto"/>
              </w:rPr>
            </w:pPr>
          </w:p>
        </w:tc>
      </w:tr>
      <w:tr>
        <w:trPr>
          <w:trHeight w:val="234"/>
        </w:trPr>
        <w:tc>
          <w:tcPr>
            <w:tcW w:w="5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20"/>
                <w:szCs w:val="20"/>
                <w:color w:val="auto"/>
              </w:rPr>
            </w:pP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4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468 )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F-8</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-3028315</wp:posOffset>
            </wp:positionV>
            <wp:extent cx="7132320" cy="274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-2479675</wp:posOffset>
            </wp:positionV>
            <wp:extent cx="7132320" cy="4114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-1656715</wp:posOffset>
            </wp:positionV>
            <wp:extent cx="7132320" cy="4114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-833755</wp:posOffset>
            </wp:positionV>
            <wp:extent cx="7132320" cy="2743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-3997325</wp:posOffset>
            </wp:positionV>
            <wp:extent cx="7132320" cy="419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8">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455930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760" w:space="200"/>
            <w:col w:w="8200"/>
          </w:cols>
          <w:pgMar w:left="340" w:top="985" w:right="39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07"/>
        </w:trPr>
        <w:tc>
          <w:tcPr>
            <w:tcW w:w="30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redemption value of</w:t>
            </w: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3"/>
            <w:vMerge w:val="restart"/>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6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5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(79 )</w:t>
            </w:r>
          </w:p>
        </w:tc>
        <w:tc>
          <w:tcPr>
            <w:tcW w:w="6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21"/>
        </w:trPr>
        <w:tc>
          <w:tcPr>
            <w:tcW w:w="30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vMerge w:val="continue"/>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vMerge w:val="continue"/>
            <w:shd w:val="clear" w:color="auto" w:fill="CFF0FC"/>
          </w:tcPr>
          <w:p>
            <w:pPr>
              <w:spacing w:after="0"/>
              <w:rPr>
                <w:sz w:val="19"/>
                <w:szCs w:val="19"/>
                <w:color w:val="auto"/>
              </w:rPr>
            </w:pPr>
          </w:p>
        </w:tc>
        <w:tc>
          <w:tcPr>
            <w:tcW w:w="680" w:type="dxa"/>
            <w:vAlign w:val="bottom"/>
            <w:gridSpan w:val="3"/>
            <w:vMerge w:val="continue"/>
            <w:shd w:val="clear" w:color="auto" w:fill="CFF0FC"/>
          </w:tcPr>
          <w:p>
            <w:pPr>
              <w:spacing w:after="0"/>
              <w:rPr>
                <w:sz w:val="19"/>
                <w:szCs w:val="19"/>
                <w:color w:val="auto"/>
              </w:rPr>
            </w:pPr>
          </w:p>
        </w:tc>
        <w:tc>
          <w:tcPr>
            <w:tcW w:w="460" w:type="dxa"/>
            <w:vAlign w:val="bottom"/>
            <w:gridSpan w:val="2"/>
            <w:vMerge w:val="continue"/>
            <w:shd w:val="clear" w:color="auto" w:fill="CFF0FC"/>
          </w:tcPr>
          <w:p>
            <w:pPr>
              <w:spacing w:after="0"/>
              <w:rPr>
                <w:sz w:val="19"/>
                <w:szCs w:val="19"/>
                <w:color w:val="auto"/>
              </w:rPr>
            </w:pPr>
          </w:p>
        </w:tc>
        <w:tc>
          <w:tcPr>
            <w:tcW w:w="4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gridSpan w:val="2"/>
            <w:vMerge w:val="continue"/>
            <w:shd w:val="clear" w:color="auto" w:fill="CFF0FC"/>
          </w:tcPr>
          <w:p>
            <w:pPr>
              <w:spacing w:after="0"/>
              <w:rPr>
                <w:sz w:val="19"/>
                <w:szCs w:val="19"/>
                <w:color w:val="auto"/>
              </w:rPr>
            </w:pPr>
          </w:p>
        </w:tc>
        <w:tc>
          <w:tcPr>
            <w:tcW w:w="700" w:type="dxa"/>
            <w:vAlign w:val="bottom"/>
            <w:gridSpan w:val="2"/>
            <w:vMerge w:val="continue"/>
            <w:shd w:val="clear" w:color="auto" w:fill="CFF0FC"/>
          </w:tcPr>
          <w:p>
            <w:pPr>
              <w:spacing w:after="0"/>
              <w:rPr>
                <w:sz w:val="19"/>
                <w:szCs w:val="19"/>
                <w:color w:val="auto"/>
              </w:rPr>
            </w:pPr>
          </w:p>
        </w:tc>
        <w:tc>
          <w:tcPr>
            <w:tcW w:w="460" w:type="dxa"/>
            <w:vAlign w:val="bottom"/>
            <w:vMerge w:val="continue"/>
            <w:shd w:val="clear" w:color="auto" w:fill="CFF0FC"/>
          </w:tcPr>
          <w:p>
            <w:pPr>
              <w:spacing w:after="0"/>
              <w:rPr>
                <w:sz w:val="19"/>
                <w:szCs w:val="19"/>
                <w:color w:val="auto"/>
              </w:rPr>
            </w:pPr>
          </w:p>
        </w:tc>
        <w:tc>
          <w:tcPr>
            <w:tcW w:w="920" w:type="dxa"/>
            <w:vAlign w:val="bottom"/>
            <w:gridSpan w:val="3"/>
            <w:vMerge w:val="continue"/>
            <w:shd w:val="clear" w:color="auto" w:fill="CFF0FC"/>
          </w:tcPr>
          <w:p>
            <w:pPr>
              <w:spacing w:after="0"/>
              <w:rPr>
                <w:sz w:val="19"/>
                <w:szCs w:val="19"/>
                <w:color w:val="auto"/>
              </w:rPr>
            </w:pPr>
          </w:p>
        </w:tc>
        <w:tc>
          <w:tcPr>
            <w:tcW w:w="6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9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7"/>
              </w:rPr>
              <w:t>1,4</w:t>
            </w:r>
          </w:p>
        </w:tc>
        <w:tc>
          <w:tcPr>
            <w:tcW w:w="240" w:type="dxa"/>
            <w:vAlign w:val="bottom"/>
            <w:tcBorders>
              <w:top w:val="single" w:sz="8" w:color="CFF0FC"/>
              <w:right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94,</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080" w:type="dxa"/>
            <w:vAlign w:val="bottom"/>
            <w:gridSpan w:val="2"/>
            <w:vMerge w:val="continue"/>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63 )</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3,396 )</w:t>
            </w:r>
          </w:p>
        </w:tc>
        <w:tc>
          <w:tcPr>
            <w:tcW w:w="0" w:type="dxa"/>
            <w:vAlign w:val="bottom"/>
          </w:tcPr>
          <w:p>
            <w:pPr>
              <w:spacing w:after="0"/>
              <w:rPr>
                <w:sz w:val="1"/>
                <w:szCs w:val="1"/>
                <w:color w:val="auto"/>
              </w:rPr>
            </w:pPr>
          </w:p>
        </w:tc>
      </w:tr>
      <w:tr>
        <w:trPr>
          <w:trHeight w:val="198"/>
        </w:trPr>
        <w:tc>
          <w:tcPr>
            <w:tcW w:w="3080" w:type="dxa"/>
            <w:vAlign w:val="bottom"/>
            <w:gridSpan w:val="2"/>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7"/>
              </w:rPr>
              <w:t>4,8</w:t>
            </w: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24,5</w:t>
            </w: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24,50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3080" w:type="dxa"/>
            <w:vAlign w:val="bottom"/>
            <w:gridSpan w:val="2"/>
            <w:vMerge w:val="continue"/>
            <w:shd w:val="clear" w:color="auto" w:fill="CFF0FC"/>
          </w:tcPr>
          <w:p>
            <w:pPr>
              <w:spacing w:after="0"/>
              <w:rPr>
                <w:sz w:val="10"/>
                <w:szCs w:val="10"/>
                <w:color w:val="auto"/>
              </w:rPr>
            </w:pP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gridSpan w:val="3"/>
            <w:vMerge w:val="restart"/>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0"/>
                <w:szCs w:val="10"/>
                <w:color w:val="auto"/>
              </w:rPr>
            </w:pPr>
          </w:p>
        </w:tc>
        <w:tc>
          <w:tcPr>
            <w:tcW w:w="5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vMerge w:val="continue"/>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60" w:type="dxa"/>
            <w:vAlign w:val="bottom"/>
            <w:gridSpan w:val="3"/>
            <w:vMerge w:val="continue"/>
            <w:shd w:val="clear" w:color="auto" w:fill="CFF0FC"/>
          </w:tcPr>
          <w:p>
            <w:pPr>
              <w:spacing w:after="0"/>
              <w:rPr>
                <w:sz w:val="9"/>
                <w:szCs w:val="9"/>
                <w:color w:val="auto"/>
              </w:rPr>
            </w:pPr>
          </w:p>
        </w:tc>
        <w:tc>
          <w:tcPr>
            <w:tcW w:w="680" w:type="dxa"/>
            <w:vAlign w:val="bottom"/>
            <w:gridSpan w:val="3"/>
            <w:vMerge w:val="continue"/>
            <w:shd w:val="clear" w:color="auto" w:fill="CFF0FC"/>
          </w:tcPr>
          <w:p>
            <w:pPr>
              <w:spacing w:after="0"/>
              <w:rPr>
                <w:sz w:val="9"/>
                <w:szCs w:val="9"/>
                <w:color w:val="auto"/>
              </w:rPr>
            </w:pPr>
          </w:p>
        </w:tc>
        <w:tc>
          <w:tcPr>
            <w:tcW w:w="460" w:type="dxa"/>
            <w:vAlign w:val="bottom"/>
            <w:gridSpan w:val="2"/>
            <w:vMerge w:val="continue"/>
            <w:shd w:val="clear" w:color="auto" w:fill="CFF0FC"/>
          </w:tcPr>
          <w:p>
            <w:pPr>
              <w:spacing w:after="0"/>
              <w:rPr>
                <w:sz w:val="9"/>
                <w:szCs w:val="9"/>
                <w:color w:val="auto"/>
              </w:rPr>
            </w:pPr>
          </w:p>
        </w:tc>
        <w:tc>
          <w:tcPr>
            <w:tcW w:w="4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80" w:type="dxa"/>
            <w:vAlign w:val="bottom"/>
            <w:gridSpan w:val="2"/>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00" w:type="dxa"/>
            <w:vAlign w:val="bottom"/>
            <w:gridSpan w:val="2"/>
            <w:vMerge w:val="continue"/>
            <w:shd w:val="clear" w:color="auto" w:fill="CFF0FC"/>
          </w:tcPr>
          <w:p>
            <w:pPr>
              <w:spacing w:after="0"/>
              <w:rPr>
                <w:sz w:val="9"/>
                <w:szCs w:val="9"/>
                <w:color w:val="auto"/>
              </w:rPr>
            </w:pPr>
          </w:p>
        </w:tc>
        <w:tc>
          <w:tcPr>
            <w:tcW w:w="48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gridSpan w:val="2"/>
            <w:vMerge w:val="continue"/>
            <w:shd w:val="clear" w:color="auto" w:fill="CFF0FC"/>
          </w:tcPr>
          <w:p>
            <w:pPr>
              <w:spacing w:after="0"/>
              <w:rPr>
                <w:sz w:val="9"/>
                <w:szCs w:val="9"/>
                <w:color w:val="auto"/>
              </w:rPr>
            </w:pPr>
          </w:p>
        </w:tc>
        <w:tc>
          <w:tcPr>
            <w:tcW w:w="5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Issuance of Class A ordinary</w:t>
            </w:r>
          </w:p>
        </w:tc>
        <w:tc>
          <w:tcPr>
            <w:tcW w:w="24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62,0</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0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shares, net of offering costs</w:t>
            </w:r>
          </w:p>
        </w:tc>
        <w:tc>
          <w:tcPr>
            <w:tcW w:w="24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080" w:type="dxa"/>
            <w:vAlign w:val="bottom"/>
            <w:gridSpan w:val="2"/>
            <w:vMerge w:val="continue"/>
          </w:tcPr>
          <w:p>
            <w:pPr>
              <w:spacing w:after="0"/>
              <w:rPr>
                <w:sz w:val="10"/>
                <w:szCs w:val="10"/>
                <w:color w:val="auto"/>
              </w:rPr>
            </w:pPr>
          </w:p>
        </w:tc>
        <w:tc>
          <w:tcPr>
            <w:tcW w:w="48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0"/>
                <w:szCs w:val="10"/>
                <w:color w:val="auto"/>
              </w:rPr>
            </w:pPr>
          </w:p>
        </w:tc>
        <w:tc>
          <w:tcPr>
            <w:tcW w:w="5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080" w:type="dxa"/>
            <w:vAlign w:val="bottom"/>
            <w:gridSpan w:val="2"/>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Vesting of Class B restricted stock</w:t>
            </w:r>
          </w:p>
        </w:tc>
        <w:tc>
          <w:tcPr>
            <w:tcW w:w="240" w:type="dxa"/>
            <w:vAlign w:val="bottom"/>
            <w:shd w:val="clear" w:color="auto" w:fill="CFF0FC"/>
          </w:tcPr>
          <w:p>
            <w:pPr>
              <w:spacing w:after="0"/>
              <w:rPr>
                <w:sz w:val="17"/>
                <w:szCs w:val="17"/>
                <w:color w:val="auto"/>
              </w:rPr>
            </w:pP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080" w:type="dxa"/>
            <w:vAlign w:val="bottom"/>
            <w:gridSpan w:val="2"/>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80" w:type="dxa"/>
            <w:vAlign w:val="bottom"/>
            <w:gridSpan w:val="2"/>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rights</w:t>
            </w:r>
          </w:p>
        </w:tc>
        <w:tc>
          <w:tcPr>
            <w:tcW w:w="24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68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080" w:type="dxa"/>
            <w:vAlign w:val="bottom"/>
            <w:gridSpan w:val="2"/>
            <w:vMerge w:val="continue"/>
            <w:shd w:val="clear" w:color="auto" w:fill="CFF0FC"/>
          </w:tcPr>
          <w:p>
            <w:pPr>
              <w:spacing w:after="0"/>
              <w:rPr>
                <w:sz w:val="10"/>
                <w:szCs w:val="10"/>
                <w:color w:val="auto"/>
              </w:rPr>
            </w:pPr>
          </w:p>
        </w:tc>
        <w:tc>
          <w:tcPr>
            <w:tcW w:w="48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0"/>
                <w:szCs w:val="10"/>
                <w:color w:val="auto"/>
              </w:rPr>
            </w:pPr>
          </w:p>
        </w:tc>
        <w:tc>
          <w:tcPr>
            <w:tcW w:w="960" w:type="dxa"/>
            <w:vAlign w:val="bottom"/>
            <w:gridSpan w:val="3"/>
            <w:vMerge w:val="restart"/>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9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80" w:type="dxa"/>
            <w:vAlign w:val="bottom"/>
            <w:tcBorders>
              <w:right w:val="single" w:sz="8" w:color="auto"/>
            </w:tcBorders>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60" w:type="dxa"/>
            <w:vAlign w:val="bottom"/>
            <w:gridSpan w:val="3"/>
            <w:vMerge w:val="continue"/>
            <w:shd w:val="clear" w:color="auto" w:fill="CFF0FC"/>
          </w:tcPr>
          <w:p>
            <w:pPr>
              <w:spacing w:after="0"/>
              <w:rPr>
                <w:sz w:val="9"/>
                <w:szCs w:val="9"/>
                <w:color w:val="auto"/>
              </w:rPr>
            </w:pPr>
          </w:p>
        </w:tc>
        <w:tc>
          <w:tcPr>
            <w:tcW w:w="680" w:type="dxa"/>
            <w:vAlign w:val="bottom"/>
            <w:gridSpan w:val="3"/>
            <w:vMerge w:val="continue"/>
            <w:shd w:val="clear" w:color="auto" w:fill="CFF0FC"/>
          </w:tcPr>
          <w:p>
            <w:pPr>
              <w:spacing w:after="0"/>
              <w:rPr>
                <w:sz w:val="9"/>
                <w:szCs w:val="9"/>
                <w:color w:val="auto"/>
              </w:rPr>
            </w:pPr>
          </w:p>
        </w:tc>
        <w:tc>
          <w:tcPr>
            <w:tcW w:w="460" w:type="dxa"/>
            <w:vAlign w:val="bottom"/>
            <w:gridSpan w:val="2"/>
            <w:vMerge w:val="continue"/>
            <w:shd w:val="clear" w:color="auto" w:fill="CFF0FC"/>
          </w:tcPr>
          <w:p>
            <w:pPr>
              <w:spacing w:after="0"/>
              <w:rPr>
                <w:sz w:val="9"/>
                <w:szCs w:val="9"/>
                <w:color w:val="auto"/>
              </w:rPr>
            </w:pPr>
          </w:p>
        </w:tc>
        <w:tc>
          <w:tcPr>
            <w:tcW w:w="4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vMerge w:val="continue"/>
            <w:shd w:val="clear" w:color="auto" w:fill="CFF0FC"/>
          </w:tcPr>
          <w:p>
            <w:pPr>
              <w:spacing w:after="0"/>
              <w:rPr>
                <w:sz w:val="9"/>
                <w:szCs w:val="9"/>
                <w:color w:val="auto"/>
              </w:rPr>
            </w:pPr>
          </w:p>
        </w:tc>
        <w:tc>
          <w:tcPr>
            <w:tcW w:w="68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00" w:type="dxa"/>
            <w:vAlign w:val="bottom"/>
            <w:gridSpan w:val="2"/>
            <w:vMerge w:val="continue"/>
            <w:shd w:val="clear" w:color="auto" w:fill="CFF0FC"/>
          </w:tcPr>
          <w:p>
            <w:pPr>
              <w:spacing w:after="0"/>
              <w:rPr>
                <w:sz w:val="9"/>
                <w:szCs w:val="9"/>
                <w:color w:val="auto"/>
              </w:rPr>
            </w:pPr>
          </w:p>
        </w:tc>
        <w:tc>
          <w:tcPr>
            <w:tcW w:w="700" w:type="dxa"/>
            <w:vAlign w:val="bottom"/>
            <w:gridSpan w:val="2"/>
            <w:vMerge w:val="continue"/>
            <w:shd w:val="clear" w:color="auto" w:fill="CFF0FC"/>
          </w:tcPr>
          <w:p>
            <w:pPr>
              <w:spacing w:after="0"/>
              <w:rPr>
                <w:sz w:val="9"/>
                <w:szCs w:val="9"/>
                <w:color w:val="auto"/>
              </w:rPr>
            </w:pPr>
          </w:p>
        </w:tc>
        <w:tc>
          <w:tcPr>
            <w:tcW w:w="4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gridSpan w:val="2"/>
            <w:vMerge w:val="continue"/>
            <w:shd w:val="clear" w:color="auto" w:fill="CFF0FC"/>
          </w:tcPr>
          <w:p>
            <w:pPr>
              <w:spacing w:after="0"/>
              <w:rPr>
                <w:sz w:val="9"/>
                <w:szCs w:val="9"/>
                <w:color w:val="auto"/>
              </w:rPr>
            </w:pPr>
          </w:p>
        </w:tc>
        <w:tc>
          <w:tcPr>
            <w:tcW w:w="68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Exchange of Class B ordinary</w:t>
            </w:r>
          </w:p>
        </w:tc>
        <w:tc>
          <w:tcPr>
            <w:tcW w:w="2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5,99</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080" w:type="dxa"/>
            <w:vAlign w:val="bottom"/>
            <w:gridSpan w:val="2"/>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5,4</w:t>
            </w: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shares for Class A ordinary shares</w:t>
            </w:r>
          </w:p>
        </w:tc>
        <w:tc>
          <w:tcPr>
            <w:tcW w:w="24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080" w:type="dxa"/>
            <w:vAlign w:val="bottom"/>
            <w:gridSpan w:val="2"/>
            <w:vMerge w:val="continue"/>
          </w:tcPr>
          <w:p>
            <w:pPr>
              <w:spacing w:after="0"/>
              <w:rPr>
                <w:sz w:val="10"/>
                <w:szCs w:val="10"/>
                <w:color w:val="auto"/>
              </w:rPr>
            </w:pP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0"/>
                <w:szCs w:val="10"/>
                <w:color w:val="auto"/>
              </w:rPr>
            </w:pPr>
          </w:p>
        </w:tc>
        <w:tc>
          <w:tcPr>
            <w:tcW w:w="9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10"/>
                <w:szCs w:val="10"/>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080" w:type="dxa"/>
            <w:vAlign w:val="bottom"/>
            <w:gridSpan w:val="2"/>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40" w:type="dxa"/>
            <w:vAlign w:val="bottom"/>
            <w:shd w:val="clear" w:color="auto" w:fill="CFF0FC"/>
          </w:tcPr>
          <w:p>
            <w:pPr>
              <w:spacing w:after="0"/>
              <w:rPr>
                <w:sz w:val="17"/>
                <w:szCs w:val="17"/>
                <w:color w:val="auto"/>
              </w:rPr>
            </w:pP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86,8</w:t>
            </w: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3080" w:type="dxa"/>
            <w:vAlign w:val="bottom"/>
            <w:gridSpan w:val="2"/>
            <w:vMerge w:val="continue"/>
            <w:shd w:val="clear" w:color="auto" w:fill="CFF0FC"/>
          </w:tcPr>
          <w:p>
            <w:pPr>
              <w:spacing w:after="0"/>
              <w:rPr>
                <w:sz w:val="10"/>
                <w:szCs w:val="10"/>
                <w:color w:val="auto"/>
              </w:rPr>
            </w:pPr>
          </w:p>
        </w:tc>
        <w:tc>
          <w:tcPr>
            <w:tcW w:w="48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0"/>
                <w:szCs w:val="10"/>
                <w:color w:val="auto"/>
              </w:rPr>
            </w:pPr>
          </w:p>
        </w:tc>
        <w:tc>
          <w:tcPr>
            <w:tcW w:w="5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80" w:type="dxa"/>
            <w:vAlign w:val="bottom"/>
            <w:tcBorders>
              <w:right w:val="single" w:sz="8" w:color="auto"/>
            </w:tcBorders>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80" w:type="dxa"/>
            <w:vAlign w:val="bottom"/>
            <w:gridSpan w:val="2"/>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00" w:type="dxa"/>
            <w:vAlign w:val="bottom"/>
            <w:gridSpan w:val="2"/>
            <w:vMerge w:val="continue"/>
            <w:shd w:val="clear" w:color="auto" w:fill="CFF0FC"/>
          </w:tcPr>
          <w:p>
            <w:pPr>
              <w:spacing w:after="0"/>
              <w:rPr>
                <w:sz w:val="9"/>
                <w:szCs w:val="9"/>
                <w:color w:val="auto"/>
              </w:rPr>
            </w:pPr>
          </w:p>
        </w:tc>
        <w:tc>
          <w:tcPr>
            <w:tcW w:w="48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gridSpan w:val="2"/>
            <w:vMerge w:val="continue"/>
            <w:shd w:val="clear" w:color="auto" w:fill="CFF0FC"/>
          </w:tcPr>
          <w:p>
            <w:pPr>
              <w:spacing w:after="0"/>
              <w:rPr>
                <w:sz w:val="9"/>
                <w:szCs w:val="9"/>
                <w:color w:val="auto"/>
              </w:rPr>
            </w:pPr>
          </w:p>
        </w:tc>
        <w:tc>
          <w:tcPr>
            <w:tcW w:w="5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Impact of equity transactions on</w:t>
            </w:r>
          </w:p>
        </w:tc>
        <w:tc>
          <w:tcPr>
            <w:tcW w:w="2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7"/>
              </w:rPr>
              <w:t>14,</w:t>
            </w: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080" w:type="dxa"/>
            <w:vAlign w:val="bottom"/>
            <w:gridSpan w:val="2"/>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4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080" w:type="dxa"/>
            <w:vAlign w:val="bottom"/>
            <w:gridSpan w:val="2"/>
            <w:vMerge w:val="continue"/>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0"/>
                <w:szCs w:val="10"/>
                <w:color w:val="auto"/>
              </w:rPr>
            </w:pPr>
          </w:p>
        </w:tc>
        <w:tc>
          <w:tcPr>
            <w:tcW w:w="5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786 )</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108"/>
        </w:trPr>
        <w:tc>
          <w:tcPr>
            <w:tcW w:w="2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080" w:type="dxa"/>
            <w:vAlign w:val="bottom"/>
            <w:gridSpan w:val="2"/>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2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48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FF0FC"/>
          </w:tcPr>
          <w:p>
            <w:pPr>
              <w:spacing w:after="0"/>
              <w:rPr>
                <w:sz w:val="20"/>
                <w:szCs w:val="20"/>
                <w:color w:val="auto"/>
              </w:rPr>
            </w:pPr>
          </w:p>
        </w:tc>
        <w:tc>
          <w:tcPr>
            <w:tcW w:w="960" w:type="dxa"/>
            <w:vAlign w:val="bottom"/>
            <w:gridSpan w:val="3"/>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02,</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080" w:type="dxa"/>
            <w:vAlign w:val="bottom"/>
            <w:gridSpan w:val="2"/>
            <w:vMerge w:val="continue"/>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0"/>
                <w:szCs w:val="20"/>
                <w:color w:val="auto"/>
              </w:rPr>
            </w:pPr>
          </w:p>
        </w:tc>
        <w:tc>
          <w:tcPr>
            <w:tcW w:w="9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186 )</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191"/>
        </w:trPr>
        <w:tc>
          <w:tcPr>
            <w:tcW w:w="29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7"/>
              </w:rPr>
              <w:t>1,3</w:t>
            </w:r>
          </w:p>
        </w:tc>
        <w:tc>
          <w:tcPr>
            <w:tcW w:w="240" w:type="dxa"/>
            <w:vAlign w:val="bottom"/>
            <w:tcBorders>
              <w:top w:val="single" w:sz="8" w:color="CFF0FC"/>
              <w:right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96,</w:t>
            </w: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3080" w:type="dxa"/>
            <w:vAlign w:val="bottom"/>
            <w:gridSpan w:val="2"/>
            <w:vMerge w:val="continue"/>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9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40" w:type="dxa"/>
            <w:vAlign w:val="bottom"/>
            <w:vMerge w:val="continue"/>
            <w:shd w:val="clear" w:color="auto" w:fill="CFF0FC"/>
          </w:tcPr>
          <w:p>
            <w:pPr>
              <w:spacing w:after="0"/>
              <w:rPr>
                <w:sz w:val="6"/>
                <w:szCs w:val="6"/>
                <w:color w:val="auto"/>
              </w:rPr>
            </w:pPr>
          </w:p>
        </w:tc>
        <w:tc>
          <w:tcPr>
            <w:tcW w:w="240" w:type="dxa"/>
            <w:vAlign w:val="bottom"/>
            <w:tcBorders>
              <w:right w:val="single" w:sz="8" w:color="auto"/>
            </w:tcBorders>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0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4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460" w:type="dxa"/>
            <w:vAlign w:val="bottom"/>
            <w:shd w:val="clear" w:color="auto" w:fill="CFF0FC"/>
          </w:tcPr>
          <w:p>
            <w:pPr>
              <w:spacing w:after="0"/>
              <w:rPr>
                <w:sz w:val="6"/>
                <w:szCs w:val="6"/>
                <w:color w:val="auto"/>
              </w:rPr>
            </w:pPr>
          </w:p>
        </w:tc>
        <w:tc>
          <w:tcPr>
            <w:tcW w:w="680" w:type="dxa"/>
            <w:vAlign w:val="bottom"/>
            <w:gridSpan w:val="2"/>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48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460" w:type="dxa"/>
            <w:vAlign w:val="bottom"/>
            <w:shd w:val="clear" w:color="auto" w:fill="CFF0FC"/>
          </w:tcPr>
          <w:p>
            <w:pPr>
              <w:spacing w:after="0"/>
              <w:rPr>
                <w:sz w:val="6"/>
                <w:szCs w:val="6"/>
                <w:color w:val="auto"/>
              </w:rPr>
            </w:pPr>
          </w:p>
        </w:tc>
        <w:tc>
          <w:tcPr>
            <w:tcW w:w="700" w:type="dxa"/>
            <w:vAlign w:val="bottom"/>
            <w:gridSpan w:val="2"/>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56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29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right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60" w:type="dxa"/>
            <w:vAlign w:val="bottom"/>
            <w:gridSpan w:val="3"/>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13</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$ 736</w:t>
            </w:r>
          </w:p>
        </w:tc>
        <w:tc>
          <w:tcPr>
            <w:tcW w:w="22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$ 130</w:t>
            </w:r>
          </w:p>
        </w:tc>
        <w:tc>
          <w:tcPr>
            <w:tcW w:w="9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  49 )</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  954 )</w:t>
            </w: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5"/>
              </w:rPr>
              <w:t>F-9</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-5065395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-5065395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-5065395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-5065395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-5065395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-5065395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-5065395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-5065395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-5065395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-5065395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-5065395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-5065395</wp:posOffset>
            </wp:positionV>
            <wp:extent cx="774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-934085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-916940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-1490980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-934085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-916940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-1490980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-934085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-916940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-1490980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-934085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-916940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-1490980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-934085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-916940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-1490980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-934085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-916940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-1490980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-934085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-916940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-1490980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-934085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-916940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-1490980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-934085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-916940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-1490980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-934085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-916940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-1490980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-934085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-916940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-1490980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-934085</wp:posOffset>
            </wp:positionV>
            <wp:extent cx="774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-916940</wp:posOffset>
            </wp:positionV>
            <wp:extent cx="774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-1490980</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0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(163,335 )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(135,447 )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(148,135 )</w:t>
            </w:r>
          </w:p>
        </w:tc>
        <w:tc>
          <w:tcPr>
            <w:tcW w:w="0" w:type="dxa"/>
            <w:vAlign w:val="bottom"/>
          </w:tcPr>
          <w:p>
            <w:pPr>
              <w:spacing w:after="0"/>
              <w:rPr>
                <w:sz w:val="1"/>
                <w:szCs w:val="1"/>
                <w:color w:val="auto"/>
              </w:rPr>
            </w:pPr>
          </w:p>
        </w:tc>
      </w:tr>
      <w:tr>
        <w:trPr>
          <w:trHeight w:val="198"/>
        </w:trPr>
        <w:tc>
          <w:tcPr>
            <w:tcW w:w="64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before noncontrolling interest to net cash flows used</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 operating activities:</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30,846</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marketable securities, net</w:t>
            </w: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(6,995 )</w:t>
            </w:r>
          </w:p>
        </w:tc>
        <w:tc>
          <w:tcPr>
            <w:tcW w:w="3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(6,018 )</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Gain on lease disposition</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(161 )</w:t>
            </w: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charges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Interest receivable</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(1,072 )</w:t>
            </w: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(1,375 )</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and other assets</w:t>
            </w: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(5,955 )</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(7,231 )</w:t>
            </w: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(609 )</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(126,351 )</w:t>
            </w: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(90,069 )</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(77,089 )</w:t>
            </w:r>
          </w:p>
        </w:tc>
        <w:tc>
          <w:tcPr>
            <w:tcW w:w="0" w:type="dxa"/>
            <w:vAlign w:val="bottom"/>
          </w:tcPr>
          <w:p>
            <w:pPr>
              <w:spacing w:after="0"/>
              <w:rPr>
                <w:sz w:val="1"/>
                <w:szCs w:val="1"/>
                <w:color w:val="auto"/>
              </w:rPr>
            </w:pPr>
          </w:p>
        </w:tc>
      </w:tr>
      <w:tr>
        <w:trPr>
          <w:trHeight w:val="432"/>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from SCS</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(324,023 )</w:t>
            </w:r>
          </w:p>
        </w:tc>
        <w:tc>
          <w:tcPr>
            <w:tcW w:w="3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(471,604 )</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373,946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175,818</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equipment and facility expansion</w:t>
            </w: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(29,509 )</w:t>
            </w:r>
          </w:p>
        </w:tc>
        <w:tc>
          <w:tcPr>
            <w:tcW w:w="3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(34,197 )</w:t>
            </w: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(1,846 )</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(329,983 )</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(1,738 )</w:t>
            </w:r>
          </w:p>
        </w:tc>
        <w:tc>
          <w:tcPr>
            <w:tcW w:w="0" w:type="dxa"/>
            <w:vAlign w:val="bottom"/>
          </w:tcPr>
          <w:p>
            <w:pPr>
              <w:spacing w:after="0"/>
              <w:rPr>
                <w:sz w:val="1"/>
                <w:szCs w:val="1"/>
                <w:color w:val="auto"/>
              </w:rPr>
            </w:pPr>
          </w:p>
        </w:tc>
      </w:tr>
      <w:tr>
        <w:trPr>
          <w:trHeight w:val="432"/>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sales of Class A ordinary shares, net of offering costs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144,322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4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Proceeds from Business Combination, including PIPE financing, net of associated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$37,856</w:t>
            </w:r>
          </w:p>
        </w:tc>
        <w:tc>
          <w:tcPr>
            <w:tcW w:w="3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(54 )</w:t>
            </w: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(52 )</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6"/>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under related party notes payable</w:t>
            </w: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Class A ordinary shares</w:t>
            </w: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(9,499 )</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 of related party notes payable</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(35,000 )</w:t>
            </w:r>
          </w:p>
        </w:tc>
        <w:tc>
          <w:tcPr>
            <w:tcW w:w="0" w:type="dxa"/>
            <w:vAlign w:val="bottom"/>
          </w:tcPr>
          <w:p>
            <w:pPr>
              <w:spacing w:after="0"/>
              <w:rPr>
                <w:sz w:val="1"/>
                <w:szCs w:val="1"/>
                <w:color w:val="auto"/>
              </w:rPr>
            </w:pPr>
          </w:p>
        </w:tc>
      </w:tr>
      <w:tr>
        <w:trPr>
          <w:trHeight w:val="216"/>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contribution</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144,408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(9,551 )</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548,521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(429,603 )</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469,694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beginning of period</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60,649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490,252</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99,120</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60,649</w:t>
            </w:r>
          </w:p>
        </w:tc>
        <w:tc>
          <w:tcPr>
            <w:tcW w:w="3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during the period for income taxes, net of refunds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3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3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6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Exchange of Class B ordinary shares</w:t>
            </w: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15,442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9,500</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6460" w:type="dxa"/>
            <w:vAlign w:val="bottom"/>
            <w:tcBorders>
              <w:top w:val="single" w:sz="8" w:color="CFF0FC"/>
            </w:tcBorders>
          </w:tcPr>
          <w:p>
            <w:pPr>
              <w:ind w:left="200"/>
              <w:spacing w:after="0" w:line="178" w:lineRule="exact"/>
              <w:rPr>
                <w:sz w:val="20"/>
                <w:szCs w:val="20"/>
                <w:color w:val="auto"/>
              </w:rPr>
            </w:pPr>
            <w:r>
              <w:rPr>
                <w:rFonts w:ascii="Times New Roman" w:cs="Times New Roman" w:eastAsia="Times New Roman" w:hAnsi="Times New Roman"/>
                <w:sz w:val="18"/>
                <w:szCs w:val="18"/>
                <w:color w:val="auto"/>
              </w:rPr>
              <w:t>Impact of equity transactions and compensation on redeemable noncontrolling</w:t>
            </w:r>
          </w:p>
        </w:tc>
        <w:tc>
          <w:tcPr>
            <w:tcW w:w="3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19,448</w:t>
            </w:r>
          </w:p>
        </w:tc>
        <w:tc>
          <w:tcPr>
            <w:tcW w:w="26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3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4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6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Change in redemption value of noncontrolling interest</w:t>
            </w: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6460" w:type="dxa"/>
            <w:vAlign w:val="bottom"/>
            <w:tcBorders>
              <w:top w:val="single" w:sz="8" w:color="CFF0FC"/>
            </w:tcBorders>
          </w:tcPr>
          <w:p>
            <w:pPr>
              <w:ind w:left="200"/>
              <w:spacing w:after="0" w:line="178" w:lineRule="exact"/>
              <w:rPr>
                <w:sz w:val="20"/>
                <w:szCs w:val="20"/>
                <w:color w:val="auto"/>
              </w:rPr>
            </w:pPr>
            <w:r>
              <w:rPr>
                <w:rFonts w:ascii="Times New Roman" w:cs="Times New Roman" w:eastAsia="Times New Roman" w:hAnsi="Times New Roman"/>
                <w:sz w:val="18"/>
                <w:szCs w:val="18"/>
                <w:color w:val="auto"/>
              </w:rPr>
              <w:t>Equipment and facility expansion included in accounts payable and</w:t>
            </w:r>
          </w:p>
        </w:tc>
        <w:tc>
          <w:tcPr>
            <w:tcW w:w="3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4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F-12</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-2691130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-2691130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-2691130</wp:posOffset>
            </wp:positionV>
            <wp:extent cx="774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-1508125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-1490980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-1508125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-1490980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-1508125</wp:posOffset>
            </wp:positionV>
            <wp:extent cx="774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-1490980</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-1071245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-1053465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-1071245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-1053465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26" w:right="1440" w:bottom="1440" w:gutter="0" w:footer="0" w:header="0"/>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160" w:firstLine="524"/>
        <w:spacing w:after="0" w:line="266" w:lineRule="auto"/>
        <w:rPr>
          <w:sz w:val="20"/>
          <w:szCs w:val="20"/>
          <w:color w:val="auto"/>
        </w:rPr>
      </w:pPr>
      <w:r>
        <w:rPr>
          <w:rFonts w:ascii="Times New Roman" w:cs="Times New Roman" w:eastAsia="Times New Roman" w:hAnsi="Times New Roman"/>
          <w:sz w:val="18"/>
          <w:szCs w:val="18"/>
          <w:color w:val="auto"/>
        </w:rPr>
        <w:t>ProKidney Corp. (the “Company” or “ProKidney”) was originally incorporated as Social Capital Suvretta Holdings Corp. III (“SCS”). SCS was a blank check company incorporated as a Cayman Islands exempted company on February 25, 2021. SCS was incorporated for the purpose of effecting a merger, share exchange, asset acquisition, share purchase, reorganization or similar business combination with one or more businesses.</w:t>
      </w:r>
    </w:p>
    <w:p>
      <w:pPr>
        <w:spacing w:after="0" w:line="68" w:lineRule="exact"/>
        <w:rPr>
          <w:sz w:val="20"/>
          <w:szCs w:val="20"/>
          <w:color w:val="auto"/>
        </w:rPr>
      </w:pPr>
    </w:p>
    <w:p>
      <w:pPr>
        <w:ind w:right="60" w:firstLine="524"/>
        <w:spacing w:after="0" w:line="258" w:lineRule="auto"/>
        <w:rPr>
          <w:sz w:val="20"/>
          <w:szCs w:val="20"/>
          <w:color w:val="auto"/>
        </w:rPr>
      </w:pPr>
      <w:r>
        <w:rPr>
          <w:rFonts w:ascii="Times New Roman" w:cs="Times New Roman" w:eastAsia="Times New Roman" w:hAnsi="Times New Roman"/>
          <w:sz w:val="18"/>
          <w:szCs w:val="18"/>
          <w:color w:val="auto"/>
        </w:rPr>
        <w:t>On January 18, 2022, SCS executed a definitive business combination agreement (the “Business Combination Agreement”), with ProKidney LP (“PKLP”), a limited partnership registered under the laws and regulations of Ireland. Pursuant to the terms of the Business Combination Agreement, PKLP became a subsidiary of SCS and was organized in an umbrella partnership corporation (“Up-C”) structure, which would provide potential future tax benefits for SCS when the equity holders ultimately exchanged their pass-through interests for Class A ordinary shares. The transaction closed (the “Closing”) on July 11, 2022 (the “Closing Date”). Upon consummation of the transaction, SCS changed its name to ProKidney Corp.</w:t>
      </w:r>
    </w:p>
    <w:p>
      <w:pPr>
        <w:spacing w:after="0" w:line="75" w:lineRule="exact"/>
        <w:rPr>
          <w:sz w:val="20"/>
          <w:szCs w:val="20"/>
          <w:color w:val="auto"/>
        </w:rPr>
      </w:pPr>
    </w:p>
    <w:p>
      <w:pPr>
        <w:ind w:right="40" w:firstLine="524"/>
        <w:spacing w:after="0" w:line="256" w:lineRule="auto"/>
        <w:rPr>
          <w:sz w:val="20"/>
          <w:szCs w:val="20"/>
          <w:color w:val="auto"/>
        </w:rPr>
      </w:pPr>
      <w:r>
        <w:rPr>
          <w:rFonts w:ascii="Times New Roman" w:cs="Times New Roman" w:eastAsia="Times New Roman" w:hAnsi="Times New Roman"/>
          <w:sz w:val="18"/>
          <w:szCs w:val="18"/>
          <w:color w:val="auto"/>
        </w:rPr>
        <w:t>The business combination between SCS and PKLP (the “Business Combination”) resulted in gross proceeds of approximately $596,537,000. This amount reflected a contribution of $21,737,000 of cash held in SCS’ trust account, net of redemptions, and a $574,800,000 concurrent private placement of Class A ordinary shares of the combined company, priced at $10.00 per share (the “PIPE Placement”). Upon close, these proceeds were used to repay the outstanding balance of $35,000,000 under PKLP’s two promissory note agreements with certain holders of its Class A Units (the “Promissory Notes”) and related accrued interest. Additionally, the proceeds were used to pay those expenses previously incurred by SCS related to the Business Combination of approximately $21,029,000 as well as advisory and placement fees of approximately $29,389,000 incurred in connection with the PIPE Placement.</w:t>
      </w:r>
    </w:p>
    <w:p>
      <w:pPr>
        <w:spacing w:after="0" w:line="79" w:lineRule="exact"/>
        <w:rPr>
          <w:sz w:val="20"/>
          <w:szCs w:val="20"/>
          <w:color w:val="auto"/>
        </w:rPr>
      </w:pPr>
    </w:p>
    <w:p>
      <w:pPr>
        <w:ind w:right="20" w:firstLine="524"/>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transaction between entities under common control, through which PKLP was considered the accounting acquiror and predecessor entity. The Business Combination was reflected as the equivalent of PKLP issuing stock for the net assets of SCS accompanied by a recapitalization with no goodwill or intangible assets recognized.</w:t>
      </w:r>
    </w:p>
    <w:p>
      <w:pPr>
        <w:spacing w:after="0" w:line="68" w:lineRule="exact"/>
        <w:rPr>
          <w:sz w:val="20"/>
          <w:szCs w:val="20"/>
          <w:color w:val="auto"/>
        </w:rPr>
      </w:pPr>
    </w:p>
    <w:p>
      <w:pPr>
        <w:jc w:val="both"/>
        <w:ind w:right="200" w:firstLine="524"/>
        <w:spacing w:after="0" w:line="261" w:lineRule="auto"/>
        <w:rPr>
          <w:sz w:val="20"/>
          <w:szCs w:val="20"/>
          <w:color w:val="auto"/>
        </w:rPr>
      </w:pPr>
      <w:r>
        <w:rPr>
          <w:rFonts w:ascii="Times New Roman" w:cs="Times New Roman" w:eastAsia="Times New Roman" w:hAnsi="Times New Roman"/>
          <w:sz w:val="18"/>
          <w:szCs w:val="18"/>
          <w:color w:val="auto"/>
        </w:rPr>
        <w:t>ProKidney Corp., through its operating subsidiaries, ProKidney, which is incorporated under the Cayman Islands Companies Act (as amended) as an exempted company (“ProKidney-KY”) and ProKidney LLC, a limited liability company under the laws of Delaware (“ProKidney-US”) is focused on the development of rilparencel, which has the potential to preserve kidney function in patients with chronic kidney disease or delay or eliminate the need for dialysis and organ transplantation. The Company’s operations are principally managed as a single operating segment.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firstLine="524"/>
        <w:spacing w:after="0" w:line="253" w:lineRule="auto"/>
        <w:rPr>
          <w:sz w:val="20"/>
          <w:szCs w:val="20"/>
          <w:color w:val="auto"/>
        </w:rPr>
      </w:pPr>
      <w:r>
        <w:rPr>
          <w:rFonts w:ascii="Times New Roman" w:cs="Times New Roman" w:eastAsia="Times New Roman" w:hAnsi="Times New Roman"/>
          <w:sz w:val="18"/>
          <w:szCs w:val="18"/>
          <w:color w:val="auto"/>
        </w:rPr>
        <w:t>ProKidney Corp. is a holding company, and its principal asset is a controlling equity interest in PKLP and its wholly-owned operating subsidiaries ProKidney-KY and ProKidney-US. The Company has determined that PKLP is a variable-interest entity for accounting purposes and that ProKidney is the primary beneficiary of PKLP because (through its managing member interest in PKLP and the fact that the senior management of ProKidney is also the senior management of PKLP) it has the power and benefits to direct all of the activities of PKLP, which include those that most significantly impact PKLP’s economic performance. The Company has therefore consolidated PKLP’s results pursuant to Accounting Standards Codification Topic 810, “Consolidation” in its Consolidated Financial Statements. As of December 31, 2024, various holders own non-voting interests in PKLP, representing a 56.1% economic interest in PKLP, effectively restricting ProKidney’s interest to 43.9% of PKLP’s economic results, subject to increase in the future, should ProKidney purchase additional non-voting common units (“PKLP Units”) of PKLP, or should the holders of PKLP Units decide to exchange such units (together with shares of Class B ordinary shares) for Class A ordinary shares (or cash) pursuant to the Exchange Agreement (as defined in Note 6). The Company will not be required to provide financial or other support for PKLP. However, ProKidney will control its business and other activities through its ownership of 100% of the shares in ProKidney Corp. GP Limited (“New GP”), which is the general partner of PKLP. Nevertheless, because ProKidney will have no material assets other than its interests in PKLP and its subsidiaries, any financial difficulties at PKLP could result in ProKidney recognizing a loss.</w:t>
      </w:r>
    </w:p>
    <w:p>
      <w:pPr>
        <w:spacing w:after="0" w:line="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All intercompany transactions and balances have been eliminated.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To facilitate comparison of information across periods, certain reclassifications have been made to prior period amounts to conform to the current period’s presentation.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60" w:firstLine="524"/>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certain estimates and assumptions that affect the reported amounts of assets and liabilities and disclosure of contingent liabilities at the date of the consolidated financial statements, and the amounts of expenses during the reported periods. Certain estimates in these consolidated financial statements have been made in connection with the calculation of research and development expenses, equity-based compensation expense and the provision for or benefit from income taxes. The Company bases its estimates on historical experience and various other assumptions, including in certain circumstances future projections, which management believes to be reasonable under the circumstances. Actual results could differ from those estimates. Changes in estimates are reflected in reported results in the period in which they become known.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 and Marketable Securities</w:t>
      </w:r>
    </w:p>
    <w:p>
      <w:pPr>
        <w:spacing w:after="0" w:line="121" w:lineRule="exact"/>
        <w:rPr>
          <w:sz w:val="20"/>
          <w:szCs w:val="20"/>
          <w:color w:val="auto"/>
        </w:rPr>
      </w:pPr>
    </w:p>
    <w:p>
      <w:pPr>
        <w:ind w:firstLine="5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on the date of purchase to be cash equivalents. The carrying value of cash and cash equivalents approximates fair value due to the short-term nature of these items.</w:t>
      </w:r>
    </w:p>
    <w:p>
      <w:pPr>
        <w:spacing w:after="0" w:line="54" w:lineRule="exact"/>
        <w:rPr>
          <w:sz w:val="20"/>
          <w:szCs w:val="20"/>
          <w:color w:val="auto"/>
        </w:rPr>
      </w:pPr>
    </w:p>
    <w:p>
      <w:pPr>
        <w:jc w:val="both"/>
        <w:ind w:right="180" w:firstLine="524"/>
        <w:spacing w:after="0" w:line="266" w:lineRule="auto"/>
        <w:rPr>
          <w:sz w:val="20"/>
          <w:szCs w:val="20"/>
          <w:color w:val="auto"/>
        </w:rPr>
      </w:pPr>
      <w:r>
        <w:rPr>
          <w:rFonts w:ascii="Times New Roman" w:cs="Times New Roman" w:eastAsia="Times New Roman" w:hAnsi="Times New Roman"/>
          <w:sz w:val="18"/>
          <w:szCs w:val="18"/>
          <w:color w:val="auto"/>
        </w:rPr>
        <w:t>The Company’s investments in marketable debt securities have been classified and accounted for as available-for-sale. The Company classifies its marketable debt securities as short-term due to its availability for use in its current operations. The cost of securities sold is determined using the specific identification method.</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considers all available evidence to evaluate if a credit loss exists, and if so, recognizes an allowance for credit loss.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ind w:right="320" w:firstLine="524"/>
        <w:spacing w:after="0" w:line="282" w:lineRule="auto"/>
        <w:rPr>
          <w:sz w:val="20"/>
          <w:szCs w:val="20"/>
          <w:color w:val="auto"/>
        </w:rPr>
      </w:pPr>
      <w:r>
        <w:rPr>
          <w:rFonts w:ascii="Times New Roman" w:cs="Times New Roman" w:eastAsia="Times New Roman" w:hAnsi="Times New Roman"/>
          <w:sz w:val="18"/>
          <w:szCs w:val="18"/>
          <w:color w:val="auto"/>
        </w:rPr>
        <w:t>Cash and equivalents are the primary financial instruments held by the Company that are potentially subject to concentrations of credit risk. The Company’s cash and equivalents are deposited in accounts at large financial institutions, and such amounts may exceed federally insured limits.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ind w:right="120" w:firstLine="524"/>
        <w:spacing w:after="0" w:line="282" w:lineRule="auto"/>
        <w:rPr>
          <w:sz w:val="20"/>
          <w:szCs w:val="20"/>
          <w:color w:val="auto"/>
        </w:rPr>
      </w:pPr>
      <w:r>
        <w:rPr>
          <w:rFonts w:ascii="Times New Roman" w:cs="Times New Roman" w:eastAsia="Times New Roman" w:hAnsi="Times New Roman"/>
          <w:sz w:val="18"/>
          <w:szCs w:val="18"/>
          <w:color w:val="auto"/>
        </w:rPr>
        <w:t>Accrued expenses as presented in the Consolidated Balance Sheets as of December 31, 2024 and December 31, 2023 consisted of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88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Clinical study related costs</w:t>
            </w: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16,452</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related costs</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legal costs</w:t>
            </w: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improvement costs</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consulting and professional fees</w:t>
            </w: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18"/>
                <w:szCs w:val="18"/>
                <w:color w:val="auto"/>
              </w:rPr>
            </w:pPr>
          </w:p>
        </w:tc>
      </w:tr>
      <w:tr>
        <w:trPr>
          <w:trHeight w:val="250"/>
        </w:trPr>
        <w:tc>
          <w:tcPr>
            <w:tcW w:w="7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accrued expenses and other</w:t>
            </w: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31,137</w:t>
            </w:r>
          </w:p>
        </w:tc>
        <w:tc>
          <w:tcPr>
            <w:tcW w:w="2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right="480" w:firstLine="524"/>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are comprised of costs incurred in performing research and development activities, including salaries, benefits, third party license fees, and external costs of outside vendors engaged to conduct manufacturing and preclinical development activities and clinical trials.</w:t>
      </w:r>
    </w:p>
    <w:p>
      <w:pPr>
        <w:spacing w:after="0" w:line="68" w:lineRule="exact"/>
        <w:rPr>
          <w:sz w:val="20"/>
          <w:szCs w:val="20"/>
          <w:color w:val="auto"/>
        </w:rPr>
      </w:pPr>
    </w:p>
    <w:p>
      <w:pPr>
        <w:ind w:firstLine="524"/>
        <w:spacing w:after="0" w:line="257" w:lineRule="auto"/>
        <w:rPr>
          <w:sz w:val="20"/>
          <w:szCs w:val="20"/>
          <w:color w:val="auto"/>
        </w:rPr>
      </w:pPr>
      <w:r>
        <w:rPr>
          <w:rFonts w:ascii="Times New Roman" w:cs="Times New Roman" w:eastAsia="Times New Roman" w:hAnsi="Times New Roman"/>
          <w:sz w:val="18"/>
          <w:szCs w:val="18"/>
          <w:color w:val="auto"/>
        </w:rPr>
        <w:t>The Company records accruals based on estimates of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6" w:name="page147"/>
    <w:bookmarkEnd w:id="146"/>
    <w:p>
      <w:pPr>
        <w:spacing w:after="0" w:line="258" w:lineRule="auto"/>
        <w:rPr>
          <w:sz w:val="20"/>
          <w:szCs w:val="20"/>
          <w:color w:val="auto"/>
        </w:rPr>
      </w:pPr>
      <w:r>
        <w:rPr>
          <w:rFonts w:ascii="Times New Roman" w:cs="Times New Roman" w:eastAsia="Times New Roman" w:hAnsi="Times New Roman"/>
          <w:sz w:val="18"/>
          <w:szCs w:val="18"/>
          <w:color w:val="auto"/>
        </w:rPr>
        <w:t>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75" w:lineRule="exact"/>
        <w:rPr>
          <w:sz w:val="20"/>
          <w:szCs w:val="20"/>
          <w:color w:val="auto"/>
        </w:rPr>
      </w:pPr>
    </w:p>
    <w:p>
      <w:pPr>
        <w:ind w:right="260" w:firstLine="524"/>
        <w:spacing w:after="0" w:line="266" w:lineRule="auto"/>
        <w:rPr>
          <w:sz w:val="20"/>
          <w:szCs w:val="20"/>
          <w:color w:val="auto"/>
        </w:rPr>
      </w:pPr>
      <w:r>
        <w:rPr>
          <w:rFonts w:ascii="Times New Roman" w:cs="Times New Roman" w:eastAsia="Times New Roman" w:hAnsi="Times New Roman"/>
          <w:sz w:val="18"/>
          <w:szCs w:val="18"/>
          <w:color w:val="auto"/>
        </w:rPr>
        <w:t>The Company records nonrefundable advance payments it makes for future research and development activities as prepaid expenses. Prepaid expenses are recognized as expense in the Consolidated Statement of Operations and Comprehensive Loss as the Company receives the related goods or services.</w:t>
      </w:r>
    </w:p>
    <w:p>
      <w:pPr>
        <w:spacing w:after="0" w:line="68" w:lineRule="exact"/>
        <w:rPr>
          <w:sz w:val="20"/>
          <w:szCs w:val="20"/>
          <w:color w:val="auto"/>
        </w:rPr>
      </w:pPr>
    </w:p>
    <w:p>
      <w:pPr>
        <w:ind w:firstLine="524"/>
        <w:spacing w:after="0" w:line="282" w:lineRule="auto"/>
        <w:rPr>
          <w:sz w:val="20"/>
          <w:szCs w:val="20"/>
          <w:color w:val="auto"/>
        </w:rPr>
      </w:pPr>
      <w:r>
        <w:rPr>
          <w:rFonts w:ascii="Times New Roman" w:cs="Times New Roman" w:eastAsia="Times New Roman" w:hAnsi="Times New Roman"/>
          <w:sz w:val="18"/>
          <w:szCs w:val="18"/>
          <w:color w:val="auto"/>
        </w:rPr>
        <w:t>Costs incurred in obtaining technology licenses are charged to research and development expense as purchased in-process research and development if the technology licensed has not reached technological feasibility and has no alternative future use.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Assets</w:t>
      </w:r>
    </w:p>
    <w:p>
      <w:pPr>
        <w:spacing w:after="0" w:line="121" w:lineRule="exact"/>
        <w:rPr>
          <w:sz w:val="20"/>
          <w:szCs w:val="20"/>
          <w:color w:val="auto"/>
        </w:rPr>
      </w:pPr>
    </w:p>
    <w:p>
      <w:pPr>
        <w:ind w:right="100" w:firstLine="524"/>
        <w:spacing w:after="0" w:line="261" w:lineRule="auto"/>
        <w:rPr>
          <w:sz w:val="20"/>
          <w:szCs w:val="20"/>
          <w:color w:val="auto"/>
        </w:rPr>
      </w:pPr>
      <w:r>
        <w:rPr>
          <w:rFonts w:ascii="Times New Roman" w:cs="Times New Roman" w:eastAsia="Times New Roman" w:hAnsi="Times New Roman"/>
          <w:sz w:val="18"/>
          <w:szCs w:val="18"/>
          <w:color w:val="auto"/>
        </w:rPr>
        <w:t>Fixed assets are stated at cost, less accumulated depreciation. Generally, expenditures for maintenance and repairs are charged to expense and major improvements or replacements are capitalized. The Company computes depreciation and amortization using the straight-line method over the estimated useful life of the asset. Leasehold improvements are amortized over the lesser of, the life of the lease or the estimated useful life of the leasehold improvement. The estimated useful lives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Buildings</w:t>
            </w:r>
          </w:p>
        </w:tc>
        <w:tc>
          <w:tcPr>
            <w:tcW w:w="296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25-30 years</w:t>
            </w:r>
          </w:p>
        </w:tc>
        <w:tc>
          <w:tcPr>
            <w:tcW w:w="8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9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3-5 years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Furniture and equipment</w:t>
            </w:r>
          </w:p>
        </w:tc>
        <w:tc>
          <w:tcPr>
            <w:tcW w:w="296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5-7 years</w:t>
            </w:r>
          </w:p>
        </w:tc>
        <w:tc>
          <w:tcPr>
            <w:tcW w:w="8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Leasehold improvements</w:t>
            </w:r>
          </w:p>
        </w:tc>
        <w:tc>
          <w:tcPr>
            <w:tcW w:w="29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remainder of lease term</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4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Fixed assets consisted of the following (in thousands):</w:t>
            </w:r>
          </w:p>
        </w:tc>
        <w:tc>
          <w:tcPr>
            <w:tcW w:w="2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Pr>
          <w:p>
            <w:pPr>
              <w:spacing w:after="0"/>
              <w:rPr>
                <w:sz w:val="24"/>
                <w:szCs w:val="2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r>
      <w:tr>
        <w:trPr>
          <w:trHeight w:val="210"/>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960" w:type="dxa"/>
            <w:vAlign w:val="bottom"/>
            <w:gridSpan w:val="2"/>
            <w:shd w:val="clear" w:color="auto" w:fill="CFF0FC"/>
          </w:tcPr>
          <w:p>
            <w:pPr>
              <w:ind w:left="2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30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22,490</w:t>
            </w:r>
          </w:p>
        </w:tc>
        <w:tc>
          <w:tcPr>
            <w:tcW w:w="100" w:type="dxa"/>
            <w:vAlign w:val="bottom"/>
          </w:tcPr>
          <w:p>
            <w:pPr>
              <w:spacing w:after="0"/>
              <w:rPr>
                <w:sz w:val="18"/>
                <w:szCs w:val="18"/>
                <w:color w:val="auto"/>
              </w:rPr>
            </w:pPr>
          </w:p>
        </w:tc>
      </w:tr>
      <w:tr>
        <w:trPr>
          <w:trHeight w:val="216"/>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21,822</w:t>
            </w:r>
          </w:p>
        </w:tc>
        <w:tc>
          <w:tcPr>
            <w:tcW w:w="30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tcPr>
          <w:p>
            <w:pPr>
              <w:spacing w:after="0"/>
              <w:rPr>
                <w:sz w:val="18"/>
                <w:szCs w:val="18"/>
                <w:color w:val="auto"/>
              </w:rPr>
            </w:pPr>
          </w:p>
        </w:tc>
      </w:tr>
      <w:tr>
        <w:trPr>
          <w:trHeight w:val="216"/>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30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100" w:type="dxa"/>
            <w:vAlign w:val="bottom"/>
          </w:tcPr>
          <w:p>
            <w:pPr>
              <w:spacing w:after="0"/>
              <w:rPr>
                <w:sz w:val="18"/>
                <w:szCs w:val="18"/>
                <w:color w:val="auto"/>
              </w:rPr>
            </w:pPr>
          </w:p>
        </w:tc>
      </w:tr>
      <w:tr>
        <w:trPr>
          <w:trHeight w:val="216"/>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(11,032 )</w:t>
            </w:r>
          </w:p>
        </w:tc>
        <w:tc>
          <w:tcPr>
            <w:tcW w:w="5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(7,642 )</w:t>
            </w:r>
          </w:p>
        </w:tc>
      </w:tr>
      <w:tr>
        <w:trPr>
          <w:trHeight w:val="210"/>
        </w:trPr>
        <w:tc>
          <w:tcPr>
            <w:tcW w:w="5440" w:type="dxa"/>
            <w:vAlign w:val="bottom"/>
            <w:tcBorders>
              <w:top w:val="single" w:sz="8" w:color="CFF0FC"/>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fixed assets, net</w:t>
            </w:r>
          </w:p>
        </w:tc>
        <w:tc>
          <w:tcPr>
            <w:tcW w:w="2220" w:type="dxa"/>
            <w:vAlign w:val="bottom"/>
            <w:tcBorders>
              <w:top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42,222</w:t>
            </w:r>
          </w:p>
        </w:tc>
        <w:tc>
          <w:tcPr>
            <w:tcW w:w="300" w:type="dxa"/>
            <w:vAlign w:val="bottom"/>
            <w:tcBorders>
              <w:top w:val="single" w:sz="8" w:color="CFF0FC"/>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42,143</w:t>
            </w:r>
          </w:p>
        </w:tc>
        <w:tc>
          <w:tcPr>
            <w:tcW w:w="100" w:type="dxa"/>
            <w:vAlign w:val="bottom"/>
            <w:tcBorders>
              <w:top w:val="single" w:sz="8" w:color="CFF0FC"/>
            </w:tcBorders>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2023 and 2022 was $4,337,000, $2,956,000, and $2,448,000,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right="80" w:firstLine="524"/>
        <w:spacing w:after="0" w:line="261" w:lineRule="auto"/>
        <w:rPr>
          <w:sz w:val="20"/>
          <w:szCs w:val="20"/>
          <w:color w:val="auto"/>
        </w:rPr>
      </w:pPr>
      <w:r>
        <w:rPr>
          <w:rFonts w:ascii="Times New Roman" w:cs="Times New Roman" w:eastAsia="Times New Roman" w:hAnsi="Times New Roman"/>
          <w:sz w:val="18"/>
          <w:szCs w:val="18"/>
          <w:color w:val="auto"/>
        </w:rPr>
        <w:t>Intangible assets were comprised of acquired assembled workforce, which are accounted for in accordance with ASC 350 - Intangibles - Goodwill and Other. The acquired assembled workforce was amortized on a straight-line basis over the useful life of five years. Amortization expense relating to the assembled workforce intangible asset was $213,000 and $215,000 for the years ended December 31, 2023 and 2022, respectively. There was no amortization for the year ended December 31, 2024 as these assets were fully amortized in the prior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 and Assets Held for Sale</w:t>
      </w:r>
    </w:p>
    <w:p>
      <w:pPr>
        <w:spacing w:after="0" w:line="121" w:lineRule="exact"/>
        <w:rPr>
          <w:sz w:val="20"/>
          <w:szCs w:val="20"/>
          <w:color w:val="auto"/>
        </w:rPr>
      </w:pPr>
    </w:p>
    <w:p>
      <w:pPr>
        <w:ind w:right="80" w:firstLine="524"/>
        <w:spacing w:after="0" w:line="258" w:lineRule="auto"/>
        <w:rPr>
          <w:sz w:val="20"/>
          <w:szCs w:val="20"/>
          <w:color w:val="auto"/>
        </w:rPr>
      </w:pPr>
      <w:r>
        <w:rPr>
          <w:rFonts w:ascii="Times New Roman" w:cs="Times New Roman" w:eastAsia="Times New Roman" w:hAnsi="Times New Roman"/>
          <w:sz w:val="18"/>
          <w:szCs w:val="18"/>
          <w:color w:val="auto"/>
        </w:rPr>
        <w:t>Long-lived assets such as fixed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w:t>
      </w:r>
    </w:p>
    <w:p>
      <w:pPr>
        <w:spacing w:after="0" w:line="75" w:lineRule="exact"/>
        <w:rPr>
          <w:sz w:val="20"/>
          <w:szCs w:val="20"/>
          <w:color w:val="auto"/>
        </w:rPr>
      </w:pPr>
    </w:p>
    <w:p>
      <w:pPr>
        <w:ind w:right="80" w:firstLine="524"/>
        <w:spacing w:after="0" w:line="255" w:lineRule="auto"/>
        <w:rPr>
          <w:sz w:val="20"/>
          <w:szCs w:val="20"/>
          <w:color w:val="auto"/>
        </w:rPr>
      </w:pPr>
      <w:r>
        <w:rPr>
          <w:rFonts w:ascii="Times New Roman" w:cs="Times New Roman" w:eastAsia="Times New Roman" w:hAnsi="Times New Roman"/>
          <w:sz w:val="18"/>
          <w:szCs w:val="18"/>
          <w:color w:val="auto"/>
        </w:rPr>
        <w:t>Due to a change in the planned use for the Company’s real property located in Greensboro, North Carolina (the “Greensboro Facility”), the Company performed an impairment analysis to compare the building’s carrying value with its estimated fair value. The fair value was determined through review of prices for similar assets and expected ranges of prices that the Company may be expected to receive upon sale of the property which are considered Level 3 inputs under the fair value hierarchy. This analysis resulted in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7" w:name="page148"/>
    <w:bookmarkEnd w:id="147"/>
    <w:p>
      <w:pPr>
        <w:ind w:right="480"/>
        <w:spacing w:after="0" w:line="282" w:lineRule="auto"/>
        <w:rPr>
          <w:sz w:val="20"/>
          <w:szCs w:val="20"/>
          <w:color w:val="auto"/>
        </w:rPr>
      </w:pPr>
      <w:r>
        <w:rPr>
          <w:rFonts w:ascii="Times New Roman" w:cs="Times New Roman" w:eastAsia="Times New Roman" w:hAnsi="Times New Roman"/>
          <w:sz w:val="18"/>
          <w:szCs w:val="18"/>
          <w:color w:val="auto"/>
        </w:rPr>
        <w:t>recognition of a non-cash impairment charge of $5,324,000 during the year ended December 31, 2024. This charge was recorded as a component of general and administrative expenses in the accompanying Consolidated Statement of Operations.</w:t>
      </w:r>
    </w:p>
    <w:p>
      <w:pPr>
        <w:spacing w:after="0" w:line="54" w:lineRule="exact"/>
        <w:rPr>
          <w:sz w:val="20"/>
          <w:szCs w:val="20"/>
          <w:color w:val="auto"/>
        </w:rPr>
      </w:pPr>
    </w:p>
    <w:p>
      <w:pPr>
        <w:ind w:right="40" w:firstLine="524"/>
        <w:spacing w:after="0" w:line="261" w:lineRule="auto"/>
        <w:rPr>
          <w:sz w:val="20"/>
          <w:szCs w:val="20"/>
          <w:color w:val="auto"/>
        </w:rPr>
      </w:pPr>
      <w:r>
        <w:rPr>
          <w:rFonts w:ascii="Times New Roman" w:cs="Times New Roman" w:eastAsia="Times New Roman" w:hAnsi="Times New Roman"/>
          <w:sz w:val="18"/>
          <w:szCs w:val="18"/>
          <w:color w:val="auto"/>
        </w:rPr>
        <w:t>During 2024, the Company determined that its Greensboro Facility met the criteria for held-for-sale accounting treatment after making the decision to sell the property. As the carrying value of the property, as adjusted for the impairment described above is less than the amount of the expected proceeds less the costs of disposal, the carrying value of the property was not adjusted in connection with this determination. The carrying value of this asset has been reflected as a component of total current assets in the accompanying Consolidated Balance Sheet as of December 31, 2024.</w:t>
      </w:r>
    </w:p>
    <w:p>
      <w:pPr>
        <w:spacing w:after="0" w:line="72" w:lineRule="exact"/>
        <w:rPr>
          <w:sz w:val="20"/>
          <w:szCs w:val="20"/>
          <w:color w:val="auto"/>
        </w:rPr>
      </w:pPr>
    </w:p>
    <w:p>
      <w:pPr>
        <w:ind w:right="240" w:firstLine="524"/>
        <w:spacing w:after="0" w:line="282" w:lineRule="auto"/>
        <w:rPr>
          <w:sz w:val="20"/>
          <w:szCs w:val="20"/>
          <w:color w:val="auto"/>
        </w:rPr>
      </w:pPr>
      <w:r>
        <w:rPr>
          <w:rFonts w:ascii="Times New Roman" w:cs="Times New Roman" w:eastAsia="Times New Roman" w:hAnsi="Times New Roman"/>
          <w:sz w:val="18"/>
          <w:szCs w:val="18"/>
          <w:color w:val="auto"/>
        </w:rPr>
        <w:t>No impairment charges have been recorded for the years ended December 31, 2023 and 2022 nor were any assets classified as held for sale as of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0" w:firstLine="524"/>
        <w:spacing w:after="0" w:line="253" w:lineRule="auto"/>
        <w:rPr>
          <w:sz w:val="20"/>
          <w:szCs w:val="20"/>
          <w:color w:val="auto"/>
        </w:rPr>
      </w:pPr>
      <w:r>
        <w:rPr>
          <w:rFonts w:ascii="Times New Roman" w:cs="Times New Roman" w:eastAsia="Times New Roman" w:hAnsi="Times New Roman"/>
          <w:sz w:val="18"/>
          <w:szCs w:val="18"/>
          <w:color w:val="auto"/>
        </w:rPr>
        <w:t>The Company uses the liability method in accounting for income taxes as required by ASC Topic 740 — Income Taxes, under which deferred tax assets and liabilities are recorded for the future tax consequences attributable to the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unless it is more likely than not that such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the Company has provided a full valuation allowance to offset the net deferred tax assets at December 31, 2024 and December 31, 2023.</w:t>
      </w:r>
    </w:p>
    <w:p>
      <w:pPr>
        <w:spacing w:after="0" w:line="86" w:lineRule="exact"/>
        <w:rPr>
          <w:sz w:val="20"/>
          <w:szCs w:val="20"/>
          <w:color w:val="auto"/>
        </w:rPr>
      </w:pPr>
    </w:p>
    <w:p>
      <w:pPr>
        <w:ind w:right="160" w:firstLine="524"/>
        <w:spacing w:after="0" w:line="266" w:lineRule="auto"/>
        <w:rPr>
          <w:sz w:val="20"/>
          <w:szCs w:val="20"/>
          <w:color w:val="auto"/>
        </w:rPr>
      </w:pPr>
      <w:r>
        <w:rPr>
          <w:rFonts w:ascii="Times New Roman" w:cs="Times New Roman" w:eastAsia="Times New Roman" w:hAnsi="Times New Roman"/>
          <w:sz w:val="18"/>
          <w:szCs w:val="18"/>
          <w:color w:val="auto"/>
        </w:rPr>
        <w:t>Interest and penalties related to income taxes are included in the benefit (expense) for income taxes in the Company’s Consolidated Statements of Operations and Comprehensive Loss. The Company has not incurred any significant interest or penalties related to income taxes in any of the periods presented.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firstLine="524"/>
        <w:spacing w:after="0" w:line="222" w:lineRule="exact"/>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or most advantageous market for the asset or liability in an orderly transaction between market participants at the measurement date.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fair value hierarchy that prioritizes the inputs used to measure fair value is described below. The three levels of inputs used to measure fair value are as follows:</w:t>
      </w:r>
    </w:p>
    <w:p>
      <w:pPr>
        <w:spacing w:after="0" w:line="199" w:lineRule="exact"/>
        <w:rPr>
          <w:sz w:val="20"/>
          <w:szCs w:val="20"/>
          <w:color w:val="auto"/>
        </w:rPr>
      </w:pPr>
    </w:p>
    <w:p>
      <w:pPr>
        <w:ind w:left="380" w:hanging="372"/>
        <w:spacing w:after="0"/>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either directly or indirectly observable through correlation with market data</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data, which require the reporting entity to develop its own assumptions</w:t>
      </w:r>
    </w:p>
    <w:p>
      <w:pPr>
        <w:spacing w:after="0" w:line="99" w:lineRule="exact"/>
        <w:rPr>
          <w:sz w:val="20"/>
          <w:szCs w:val="20"/>
          <w:color w:val="auto"/>
        </w:rPr>
      </w:pPr>
    </w:p>
    <w:p>
      <w:pPr>
        <w:ind w:right="80" w:firstLine="524"/>
        <w:spacing w:after="0" w:line="254" w:lineRule="auto"/>
        <w:rPr>
          <w:sz w:val="20"/>
          <w:szCs w:val="20"/>
          <w:color w:val="auto"/>
        </w:rPr>
      </w:pPr>
      <w:r>
        <w:rPr>
          <w:rFonts w:ascii="Times New Roman" w:cs="Times New Roman" w:eastAsia="Times New Roman" w:hAnsi="Times New Roman"/>
          <w:sz w:val="18"/>
          <w:szCs w:val="18"/>
          <w:color w:val="auto"/>
        </w:rPr>
        <w:t>For assets and liabilities recorded at fair value, it is the Company’s policy to maximize the use of observable inputs and minimize the use of unobservable inputs when developing fair value measurements, in accordance with the fair value hierarchy. Fair value measurements for assets and liabilities where there exists limited or no observable market data are based primarily upon estimates and are often calculated based on the economic and competitive environment, the characteristics of the asset or liability and other factors. Therefore, fair value measurements cannot be determined with precision and may not be realized in an actual sale or immediate settlement of the asset or liability. Additionally, there may be inherent weaknesses in any calculation technique and changes in the underlying assumptions used, including discount rates and estimates of future cash flows, could significantly affect the calculated current or future fair values. The Company utilizes fair value measurements to record fair value adjustments to certain assets and liabilities and to determine fair value disclosures.</w:t>
      </w:r>
    </w:p>
    <w:p>
      <w:pPr>
        <w:spacing w:after="0" w:line="43" w:lineRule="exact"/>
        <w:rPr>
          <w:sz w:val="20"/>
          <w:szCs w:val="20"/>
          <w:color w:val="auto"/>
        </w:rPr>
      </w:pPr>
    </w:p>
    <w:p>
      <w:pPr>
        <w:ind w:right="460" w:firstLine="524"/>
        <w:spacing w:after="0" w:line="245" w:lineRule="exact"/>
        <w:rPr>
          <w:sz w:val="20"/>
          <w:szCs w:val="20"/>
          <w:color w:val="auto"/>
        </w:rPr>
      </w:pPr>
      <w:r>
        <w:rPr>
          <w:rFonts w:ascii="Times New Roman" w:cs="Times New Roman" w:eastAsia="Times New Roman" w:hAnsi="Times New Roman"/>
          <w:sz w:val="18"/>
          <w:szCs w:val="18"/>
          <w:color w:val="auto"/>
        </w:rPr>
        <w:t>The carrying values of cash equivalents, accounts payable, and accrued liabilities approximate fair value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these instruments.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67"/>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Balances recognized related to the Company’s operating and finance leases are included in right-of-use assets, net and lease liabilities in the Consolidated Balance Sheets. Right of use assets and lease liabilities are recognized based on the present value of the future minimum lease payments over the lease term at commencement date. Variable payments directly related to the use of the assets and future adjustments of payments based on indices</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48" w:name="page149"/>
    <w:bookmarkEnd w:id="148"/>
    <w:p>
      <w:pPr>
        <w:ind w:right="60"/>
        <w:spacing w:after="0" w:line="255" w:lineRule="auto"/>
        <w:rPr>
          <w:sz w:val="20"/>
          <w:szCs w:val="20"/>
          <w:color w:val="auto"/>
        </w:rPr>
      </w:pPr>
      <w:r>
        <w:rPr>
          <w:rFonts w:ascii="Times New Roman" w:cs="Times New Roman" w:eastAsia="Times New Roman" w:hAnsi="Times New Roman"/>
          <w:sz w:val="18"/>
          <w:szCs w:val="18"/>
          <w:color w:val="auto"/>
        </w:rPr>
        <w:t>are recognized in the period of incurrence or change and are not included in the lease payments at the initial measurement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right of use asset also includes any lease payments made and excludes lease incentives and initial direct costs incurred. The Company has elected a practical expedient to not separate its lease and non-lease components and instead account for them as a single lease component. For lease agreements in which the Company is the lessor, the entity applies the guidance of ASC Topic 842, “Leases” in the recognition of lease income. Leases with a term of 12 months or less are not recorded on the balance sheet.</w:t>
      </w:r>
    </w:p>
    <w:p>
      <w:pPr>
        <w:spacing w:after="0" w:line="81" w:lineRule="exact"/>
        <w:rPr>
          <w:sz w:val="20"/>
          <w:szCs w:val="20"/>
          <w:color w:val="auto"/>
        </w:rPr>
      </w:pPr>
    </w:p>
    <w:p>
      <w:pPr>
        <w:ind w:right="140" w:firstLine="524"/>
        <w:spacing w:after="0" w:line="266" w:lineRule="auto"/>
        <w:rPr>
          <w:sz w:val="20"/>
          <w:szCs w:val="20"/>
          <w:color w:val="auto"/>
        </w:rPr>
      </w:pPr>
      <w:r>
        <w:rPr>
          <w:rFonts w:ascii="Times New Roman" w:cs="Times New Roman" w:eastAsia="Times New Roman" w:hAnsi="Times New Roman"/>
          <w:sz w:val="18"/>
          <w:szCs w:val="18"/>
          <w:color w:val="auto"/>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121" w:lineRule="exact"/>
        <w:rPr>
          <w:sz w:val="20"/>
          <w:szCs w:val="20"/>
          <w:color w:val="auto"/>
        </w:rPr>
      </w:pPr>
    </w:p>
    <w:p>
      <w:pPr>
        <w:ind w:right="320" w:firstLine="524"/>
        <w:spacing w:after="0" w:line="282" w:lineRule="auto"/>
        <w:rPr>
          <w:sz w:val="20"/>
          <w:szCs w:val="20"/>
          <w:color w:val="auto"/>
        </w:rPr>
      </w:pPr>
      <w:r>
        <w:rPr>
          <w:rFonts w:ascii="Times New Roman" w:cs="Times New Roman" w:eastAsia="Times New Roman" w:hAnsi="Times New Roman"/>
          <w:sz w:val="18"/>
          <w:szCs w:val="18"/>
          <w:color w:val="auto"/>
        </w:rPr>
        <w:t>The Company records reserves for contingent liabilities when it is probable that an asset has been impaired or a liability has been incurred at the date of the financial statements, and the amount of the loss can be reasonably estimated.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right="140" w:firstLine="524"/>
        <w:spacing w:after="0" w:line="261" w:lineRule="auto"/>
        <w:rPr>
          <w:sz w:val="20"/>
          <w:szCs w:val="20"/>
          <w:color w:val="auto"/>
        </w:rPr>
      </w:pPr>
      <w:r>
        <w:rPr>
          <w:rFonts w:ascii="Times New Roman" w:cs="Times New Roman" w:eastAsia="Times New Roman" w:hAnsi="Times New Roman"/>
          <w:sz w:val="18"/>
          <w:szCs w:val="18"/>
          <w:color w:val="auto"/>
        </w:rPr>
        <w:t>Compensation expense for equity-based compensation awards issued is based on the fair value of the award at the date of grant, and compensation expense is recognized for time-vested awards earned over the service period on a straight-line basis. The Company recognizes equity-based compensation for options containing performance-based vesting conditions over the requisite service period if it is probable that the performance conditions will be satisfied. The Company records forfeitures of equity-based compensation awards as they occur.</w:t>
      </w:r>
    </w:p>
    <w:p>
      <w:pPr>
        <w:spacing w:after="0" w:line="72" w:lineRule="exact"/>
        <w:rPr>
          <w:sz w:val="20"/>
          <w:szCs w:val="20"/>
          <w:color w:val="auto"/>
        </w:rPr>
      </w:pPr>
    </w:p>
    <w:p>
      <w:pPr>
        <w:ind w:right="180" w:firstLine="524"/>
        <w:spacing w:after="0" w:line="258" w:lineRule="auto"/>
        <w:rPr>
          <w:sz w:val="20"/>
          <w:szCs w:val="20"/>
          <w:color w:val="auto"/>
        </w:rPr>
      </w:pPr>
      <w:r>
        <w:rPr>
          <w:rFonts w:ascii="Times New Roman" w:cs="Times New Roman" w:eastAsia="Times New Roman" w:hAnsi="Times New Roman"/>
          <w:sz w:val="18"/>
          <w:szCs w:val="18"/>
          <w:color w:val="auto"/>
        </w:rPr>
        <w:t>The Company’s share based compensation program grants awards that have included the following: 1) profits interests in ProKidney LP which, at close of the Business Combination, were converted into paired interests consisting of (i) Class B ordinary shares or Class B restricted stock rights and (ii) Common Units or Restricted Common Units of ProKidney LP (collectively referred to as “Legacy Profits Interests”); 2) restricted stock units issued by SCS (“Legacy SCS Awards”); 3) time-vested stock options issued by ProKidney Corp.; 4) performance-vested stock options issued by ProKidney Corp. and 5) market-vested stock options issued by ProKidney Corp.</w:t>
      </w:r>
    </w:p>
    <w:p>
      <w:pPr>
        <w:spacing w:after="0" w:line="75" w:lineRule="exact"/>
        <w:rPr>
          <w:sz w:val="20"/>
          <w:szCs w:val="20"/>
          <w:color w:val="auto"/>
        </w:rPr>
      </w:pPr>
    </w:p>
    <w:p>
      <w:pPr>
        <w:ind w:right="280" w:firstLine="524"/>
        <w:spacing w:after="0" w:line="261" w:lineRule="auto"/>
        <w:rPr>
          <w:sz w:val="20"/>
          <w:szCs w:val="20"/>
          <w:color w:val="auto"/>
        </w:rPr>
      </w:pPr>
      <w:r>
        <w:rPr>
          <w:rFonts w:ascii="Times New Roman" w:cs="Times New Roman" w:eastAsia="Times New Roman" w:hAnsi="Times New Roman"/>
          <w:sz w:val="18"/>
          <w:szCs w:val="18"/>
          <w:color w:val="auto"/>
        </w:rPr>
        <w:t>The grant date fair value of time and performance vested stock option awards is estimated using the Black-Scholes option pricing formula. The grant date fair values of the Legacy Profits Interests and Legacy SCS Awards are based on the market value of the issuer’s shares or member units, as applicable, on the date of grant. Compensation expense related to time-vested stock options, performance-vested stock options, Legacy Profits Interests and Legacy SCS Awards are recognized on a straight-line basis over the applicable service period.</w:t>
      </w:r>
    </w:p>
    <w:p>
      <w:pPr>
        <w:spacing w:after="0" w:line="72" w:lineRule="exact"/>
        <w:rPr>
          <w:sz w:val="20"/>
          <w:szCs w:val="20"/>
          <w:color w:val="auto"/>
        </w:rPr>
      </w:pPr>
    </w:p>
    <w:p>
      <w:pPr>
        <w:ind w:right="120" w:firstLine="524"/>
        <w:spacing w:after="0" w:line="266" w:lineRule="auto"/>
        <w:rPr>
          <w:sz w:val="20"/>
          <w:szCs w:val="20"/>
          <w:color w:val="auto"/>
        </w:rPr>
      </w:pPr>
      <w:r>
        <w:rPr>
          <w:rFonts w:ascii="Times New Roman" w:cs="Times New Roman" w:eastAsia="Times New Roman" w:hAnsi="Times New Roman"/>
          <w:sz w:val="18"/>
          <w:szCs w:val="18"/>
          <w:color w:val="auto"/>
        </w:rPr>
        <w:t>The grant date fair value of market-vested stock option awards was estimated using the Geometric Brownian Motion/Monte Carlo model. Share-based compensation expense related to these awards was recognized ratably for each vesting tranche over the derived service period regardless of whether the award achieves the market condition and will only be adjusted to the extent the service condition is not met.</w:t>
      </w:r>
    </w:p>
    <w:p>
      <w:pPr>
        <w:spacing w:after="0" w:line="68" w:lineRule="exact"/>
        <w:rPr>
          <w:sz w:val="20"/>
          <w:szCs w:val="20"/>
          <w:color w:val="auto"/>
        </w:rPr>
      </w:pPr>
    </w:p>
    <w:p>
      <w:pPr>
        <w:ind w:right="20" w:firstLine="524"/>
        <w:spacing w:after="0" w:line="261" w:lineRule="auto"/>
        <w:rPr>
          <w:sz w:val="20"/>
          <w:szCs w:val="20"/>
          <w:color w:val="auto"/>
        </w:rPr>
      </w:pPr>
      <w:r>
        <w:rPr>
          <w:rFonts w:ascii="Times New Roman" w:cs="Times New Roman" w:eastAsia="Times New Roman" w:hAnsi="Times New Roman"/>
          <w:sz w:val="18"/>
          <w:szCs w:val="18"/>
          <w:color w:val="auto"/>
        </w:rPr>
        <w:t>Due to the lack of sufficient historical trading information with respect to its own shares, the Company estimates expected volatility based on the historical volatility of a portfolio of selected stocks of companies believed to have market and economic characteristics similar to its own.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 for awards without market conditions.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121" w:lineRule="exact"/>
        <w:rPr>
          <w:sz w:val="20"/>
          <w:szCs w:val="20"/>
          <w:color w:val="auto"/>
        </w:rPr>
      </w:pPr>
    </w:p>
    <w:p>
      <w:pPr>
        <w:ind w:firstLine="524"/>
        <w:spacing w:after="0" w:line="261" w:lineRule="auto"/>
        <w:rPr>
          <w:sz w:val="20"/>
          <w:szCs w:val="20"/>
          <w:color w:val="auto"/>
        </w:rPr>
      </w:pPr>
      <w:r>
        <w:rPr>
          <w:rFonts w:ascii="Times New Roman" w:cs="Times New Roman" w:eastAsia="Times New Roman" w:hAnsi="Times New Roman"/>
          <w:sz w:val="18"/>
          <w:szCs w:val="18"/>
          <w:color w:val="auto"/>
        </w:rPr>
        <w:t>The Company sponsors a 401(k) plan for its ProKidney-US employees and a defined contribution plan for its ProKidney-KY employees. Full-time employees are eligible to participate in these plans. The Company matches 100% of participating ProKidney-US employees’ contributions up to 4% of salary and contributes 7% of ProKidney-KY employee salaries to the respective plans. The Company’s cost related to these defined contribution plans were $863,000, $503,000 and $267,000 for the years ended December 31, 2024, 2023 and 2022,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0" w:firstLine="524"/>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is intended to improve reportable segment disclosure requirements, primarily through additional disclosures about</w:t>
      </w: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9" w:name="page150"/>
    <w:bookmarkEnd w:id="149"/>
    <w:p>
      <w:pPr>
        <w:ind w:right="20"/>
        <w:spacing w:after="0" w:line="266" w:lineRule="auto"/>
        <w:rPr>
          <w:sz w:val="20"/>
          <w:szCs w:val="20"/>
          <w:color w:val="auto"/>
        </w:rPr>
      </w:pPr>
      <w:r>
        <w:rPr>
          <w:rFonts w:ascii="Times New Roman" w:cs="Times New Roman" w:eastAsia="Times New Roman" w:hAnsi="Times New Roman"/>
          <w:sz w:val="18"/>
          <w:szCs w:val="18"/>
          <w:color w:val="auto"/>
        </w:rPr>
        <w:t>significant segment expenses. The standard is effective for fiscal years beginning after December 15, 2023, and interim periods within fiscal years beginning after December 15, 2024, with early adoption permitted. The Company adopted the new standard in fiscal year 2024 for annual and retrospective reporting periods with all interim disclosures to begin in the first quarter of fiscal year 2025. For additional information, see Note 11, Segment Information.</w:t>
      </w:r>
    </w:p>
    <w:p>
      <w:pPr>
        <w:spacing w:after="0" w:line="68" w:lineRule="exact"/>
        <w:rPr>
          <w:sz w:val="20"/>
          <w:szCs w:val="20"/>
          <w:color w:val="auto"/>
        </w:rPr>
      </w:pPr>
    </w:p>
    <w:p>
      <w:pPr>
        <w:ind w:right="80" w:firstLine="5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entities to disclose disaggregated information about their effective tax rate reconciliation and income taxes paid. The disclosure requirements will be applied on a prospective basis, with the option to apply them retrospectively. The standard is effective for fiscal years beginning after December 15, 2024, with early adoption permitted. The Company is currently evaluating the disclosure requirements related to this new standard.</w:t>
      </w:r>
    </w:p>
    <w:p>
      <w:pPr>
        <w:spacing w:after="0" w:line="72" w:lineRule="exact"/>
        <w:rPr>
          <w:sz w:val="20"/>
          <w:szCs w:val="20"/>
          <w:color w:val="auto"/>
        </w:rPr>
      </w:pPr>
    </w:p>
    <w:p>
      <w:pPr>
        <w:ind w:firstLine="524"/>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which requires disclosure of additional information about specific expense categories in the notes to the financial statements on an interim and annual basis. The standard is effective for fiscal years beginning after December 15, 2026, and for interim periods beginning after December 15, 2027, with early adoption permitted. The Company is currently evaluating the disclosure requirements related to this new standard.</w:t>
      </w:r>
    </w:p>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tab/>
        <w:t>Investments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Cash equivalents and marketable securities are measured at fair value and within Level 2 in the fair value hierarchy, because we use quoted market prices to the extent available or alternative pricing sources and models utilizing market observable inputs to determine fair value.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our cash equivalents and marketable securities measured at fair value on a recurring basis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0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0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0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w:t>
            </w:r>
          </w:p>
        </w:tc>
        <w:tc>
          <w:tcPr>
            <w:tcW w:w="0" w:type="dxa"/>
            <w:vAlign w:val="bottom"/>
          </w:tcPr>
          <w:p>
            <w:pPr>
              <w:spacing w:after="0"/>
              <w:rPr>
                <w:sz w:val="1"/>
                <w:szCs w:val="1"/>
                <w:color w:val="auto"/>
              </w:rPr>
            </w:pPr>
          </w:p>
        </w:tc>
      </w:tr>
      <w:tr>
        <w:trPr>
          <w:trHeight w:val="238"/>
        </w:trPr>
        <w:tc>
          <w:tcPr>
            <w:tcW w:w="2520" w:type="dxa"/>
            <w:vAlign w:val="bottom"/>
          </w:tcPr>
          <w:p>
            <w:pPr>
              <w:spacing w:after="0"/>
              <w:rPr>
                <w:sz w:val="20"/>
                <w:szCs w:val="20"/>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0"/>
                <w:szCs w:val="20"/>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Equivalents</w:t>
            </w:r>
          </w:p>
        </w:tc>
        <w:tc>
          <w:tcPr>
            <w:tcW w:w="200" w:type="dxa"/>
            <w:vAlign w:val="bottom"/>
          </w:tcPr>
          <w:p>
            <w:pPr>
              <w:spacing w:after="0"/>
              <w:rPr>
                <w:sz w:val="20"/>
                <w:szCs w:val="20"/>
                <w:color w:val="auto"/>
              </w:rPr>
            </w:pPr>
          </w:p>
        </w:tc>
        <w:tc>
          <w:tcPr>
            <w:tcW w:w="9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80,509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80,571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46,848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(42 )</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314,850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315,146</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55,974</w:t>
            </w:r>
          </w:p>
        </w:tc>
        <w:tc>
          <w:tcPr>
            <w:tcW w:w="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0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0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0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w:t>
            </w:r>
          </w:p>
        </w:tc>
        <w:tc>
          <w:tcPr>
            <w:tcW w:w="0" w:type="dxa"/>
            <w:vAlign w:val="bottom"/>
          </w:tcPr>
          <w:p>
            <w:pPr>
              <w:spacing w:after="0"/>
              <w:rPr>
                <w:sz w:val="1"/>
                <w:szCs w:val="1"/>
                <w:color w:val="auto"/>
              </w:rPr>
            </w:pPr>
          </w:p>
        </w:tc>
      </w:tr>
      <w:tr>
        <w:trPr>
          <w:trHeight w:val="238"/>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Equivalents</w:t>
            </w:r>
          </w:p>
        </w:tc>
        <w:tc>
          <w:tcPr>
            <w:tcW w:w="200" w:type="dxa"/>
            <w:vAlign w:val="bottom"/>
          </w:tcPr>
          <w:p>
            <w:pPr>
              <w:spacing w:after="0"/>
              <w:rPr>
                <w:sz w:val="20"/>
                <w:szCs w:val="20"/>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0" w:type="dxa"/>
            <w:vAlign w:val="bottom"/>
          </w:tcPr>
          <w:p>
            <w:pPr>
              <w:spacing w:after="0"/>
              <w:rPr>
                <w:sz w:val="1"/>
                <w:szCs w:val="1"/>
                <w:color w:val="auto"/>
              </w:rPr>
            </w:pPr>
          </w:p>
        </w:tc>
      </w:tr>
      <w:tr>
        <w:trPr>
          <w:trHeight w:val="210"/>
        </w:trPr>
        <w:tc>
          <w:tcPr>
            <w:tcW w:w="2520" w:type="dxa"/>
            <w:vAlign w:val="bottom"/>
            <w:vMerge w:val="continue"/>
          </w:tcPr>
          <w:p>
            <w:pPr>
              <w:spacing w:after="0"/>
              <w:rPr>
                <w:sz w:val="18"/>
                <w:szCs w:val="18"/>
                <w:color w:val="auto"/>
              </w:rPr>
            </w:pPr>
          </w:p>
        </w:tc>
        <w:tc>
          <w:tcPr>
            <w:tcW w:w="1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2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20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200" w:type="dxa"/>
            <w:vAlign w:val="bottom"/>
          </w:tcPr>
          <w:p>
            <w:pPr>
              <w:spacing w:after="0"/>
              <w:rPr>
                <w:sz w:val="18"/>
                <w:szCs w:val="18"/>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(28 )</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309,722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310,219</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-1576705</wp:posOffset>
            </wp:positionV>
            <wp:extent cx="596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-1559560</wp:posOffset>
            </wp:positionV>
            <wp:extent cx="596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-1576705</wp:posOffset>
            </wp:positionV>
            <wp:extent cx="603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-1559560</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-1576705</wp:posOffset>
            </wp:positionV>
            <wp:extent cx="6032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-1559560</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-1576705</wp:posOffset>
            </wp:positionV>
            <wp:extent cx="603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-1559560</wp:posOffset>
            </wp:positionV>
            <wp:extent cx="60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-1576705</wp:posOffset>
            </wp:positionV>
            <wp:extent cx="603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-1559560</wp:posOffset>
            </wp:positionV>
            <wp:extent cx="60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-1576705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-1559560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-24765</wp:posOffset>
            </wp:positionV>
            <wp:extent cx="596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596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603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603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0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03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03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03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-24765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of the Company’s cash equivalents and marketable securities, by contractual maturity, as of December 31, 2024 (in thousands):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1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285,061</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1 year through 5 years</w:t>
            </w:r>
          </w:p>
        </w:tc>
        <w:tc>
          <w:tcPr>
            <w:tcW w:w="6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30,085</w:t>
            </w:r>
          </w:p>
        </w:tc>
        <w:tc>
          <w:tcPr>
            <w:tcW w:w="100" w:type="dxa"/>
            <w:vAlign w:val="bottom"/>
          </w:tcPr>
          <w:p>
            <w:pPr>
              <w:spacing w:after="0"/>
              <w:rPr>
                <w:sz w:val="18"/>
                <w:szCs w:val="18"/>
                <w:color w:val="auto"/>
              </w:rPr>
            </w:pPr>
          </w:p>
        </w:tc>
      </w:tr>
      <w:tr>
        <w:trPr>
          <w:trHeight w:val="250"/>
        </w:trPr>
        <w:tc>
          <w:tcPr>
            <w:tcW w:w="67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315,146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-8255</wp:posOffset>
            </wp:positionV>
            <wp:extent cx="596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fair values and gross unrealized losses recorded to accumulated other comprehensive loss, aggregated by category and the length of time that individual securities have been in a continuous loss position (in thousands):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0" w:name="page151"/>
    <w:bookmarkEnd w:id="150"/>
    <w:tbl>
      <w:tblPr>
        <w:tblLayout w:type="fixed"/>
        <w:tblInd w:w="340" w:type="dxa"/>
        <w:tblCellMar>
          <w:top w:w="0" w:type="dxa"/>
          <w:left w:w="0" w:type="dxa"/>
          <w:bottom w:w="0" w:type="dxa"/>
          <w:right w:w="0" w:type="dxa"/>
        </w:tblCellMar>
      </w:tblPr>
      <w:tr>
        <w:trPr>
          <w:trHeight w:val="229"/>
        </w:trPr>
        <w:tc>
          <w:tcPr>
            <w:tcW w:w="2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54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96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32,443</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18"/>
                <w:szCs w:val="18"/>
                <w:color w:val="auto"/>
              </w:rPr>
            </w:pPr>
          </w:p>
        </w:tc>
        <w:tc>
          <w:tcPr>
            <w:tcW w:w="9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36,312</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36,312</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4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209"/>
        </w:trPr>
        <w:tc>
          <w:tcPr>
            <w:tcW w:w="28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94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52,783</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8"/>
                <w:szCs w:val="18"/>
                <w:color w:val="auto"/>
              </w:rPr>
            </w:pPr>
          </w:p>
        </w:tc>
        <w:tc>
          <w:tcPr>
            <w:tcW w:w="9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78,847</w:t>
            </w:r>
          </w:p>
        </w:tc>
        <w:tc>
          <w:tcPr>
            <w:tcW w:w="220" w:type="dxa"/>
            <w:vAlign w:val="bottom"/>
          </w:tcPr>
          <w:p>
            <w:pPr>
              <w:spacing w:after="0"/>
              <w:rPr>
                <w:sz w:val="18"/>
                <w:szCs w:val="18"/>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78,847</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-1456690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-1439545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-1456690</wp:posOffset>
            </wp:positionV>
            <wp:extent cx="596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-1439545</wp:posOffset>
            </wp:positionV>
            <wp:extent cx="596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-1456690</wp:posOffset>
            </wp:positionV>
            <wp:extent cx="603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-1439545</wp:posOffset>
            </wp:positionV>
            <wp:extent cx="60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-1456690</wp:posOffset>
            </wp:positionV>
            <wp:extent cx="60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-1439545</wp:posOffset>
            </wp:positionV>
            <wp:extent cx="603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-1456690</wp:posOffset>
            </wp:positionV>
            <wp:extent cx="60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-1439545</wp:posOffset>
            </wp:positionV>
            <wp:extent cx="60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-1456690</wp:posOffset>
            </wp:positionV>
            <wp:extent cx="596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-1439545</wp:posOffset>
            </wp:positionV>
            <wp:extent cx="596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-170815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-170815</wp:posOffset>
            </wp:positionV>
            <wp:extent cx="596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-170815</wp:posOffset>
            </wp:positionV>
            <wp:extent cx="603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60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03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-170815</wp:posOffset>
            </wp:positionV>
            <wp:extent cx="596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holds debt securities of companies with high credit quality and has determined that there was no material change in the credit risk of its debt securities during the year ended December 31, 2024. As such, the Company has not recognized an allowance for credit losses related to marketable debt securities during the years ended December 31, 2024, 2023 and 2022. As of December 31, 2024, there were 21 investment positions that were in an unrealized loss position.</w:t>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Income Taxes</w:t>
      </w:r>
    </w:p>
    <w:p>
      <w:pPr>
        <w:spacing w:after="0" w:line="121" w:lineRule="exact"/>
        <w:rPr>
          <w:sz w:val="20"/>
          <w:szCs w:val="20"/>
          <w:color w:val="auto"/>
        </w:rPr>
      </w:pPr>
    </w:p>
    <w:p>
      <w:pPr>
        <w:ind w:firstLine="524"/>
        <w:spacing w:after="0" w:line="282" w:lineRule="auto"/>
        <w:rPr>
          <w:sz w:val="20"/>
          <w:szCs w:val="20"/>
          <w:color w:val="auto"/>
        </w:rPr>
      </w:pPr>
      <w:r>
        <w:rPr>
          <w:rFonts w:ascii="Times New Roman" w:cs="Times New Roman" w:eastAsia="Times New Roman" w:hAnsi="Times New Roman"/>
          <w:sz w:val="18"/>
          <w:szCs w:val="18"/>
          <w:color w:val="auto"/>
        </w:rPr>
        <w:t>ProKidney is considered to be an exempted Cayman Islands company and is presently not subject to income taxes or income tax filing requirements in the Cayman Islands or the United States.</w:t>
      </w:r>
    </w:p>
    <w:p>
      <w:pPr>
        <w:spacing w:after="0" w:line="54" w:lineRule="exact"/>
        <w:rPr>
          <w:sz w:val="20"/>
          <w:szCs w:val="20"/>
          <w:color w:val="auto"/>
        </w:rPr>
      </w:pPr>
    </w:p>
    <w:p>
      <w:pPr>
        <w:ind w:right="20" w:firstLine="524"/>
        <w:spacing w:after="0" w:line="266" w:lineRule="auto"/>
        <w:rPr>
          <w:sz w:val="20"/>
          <w:szCs w:val="20"/>
          <w:color w:val="auto"/>
        </w:rPr>
      </w:pPr>
      <w:r>
        <w:rPr>
          <w:rFonts w:ascii="Times New Roman" w:cs="Times New Roman" w:eastAsia="Times New Roman" w:hAnsi="Times New Roman"/>
          <w:sz w:val="18"/>
          <w:szCs w:val="18"/>
          <w:color w:val="auto"/>
        </w:rPr>
        <w:t>The Company’s subsidiary, PKLP, is organized as a limited partnership and is classified as a partnership for U.S. income tax purposes, and as such, only records a provision for federal and state income taxes on its subsidiaries organized as C corporations or which have elected to be treated as corporations for U.S. federal income tax purposes.</w:t>
      </w:r>
    </w:p>
    <w:p>
      <w:pPr>
        <w:spacing w:after="0" w:line="68" w:lineRule="exact"/>
        <w:rPr>
          <w:sz w:val="20"/>
          <w:szCs w:val="20"/>
          <w:color w:val="auto"/>
        </w:rPr>
      </w:pPr>
    </w:p>
    <w:p>
      <w:pPr>
        <w:ind w:right="340" w:firstLine="524"/>
        <w:spacing w:after="0" w:line="282" w:lineRule="auto"/>
        <w:rPr>
          <w:sz w:val="20"/>
          <w:szCs w:val="20"/>
          <w:color w:val="auto"/>
        </w:rPr>
      </w:pPr>
      <w:r>
        <w:rPr>
          <w:rFonts w:ascii="Times New Roman" w:cs="Times New Roman" w:eastAsia="Times New Roman" w:hAnsi="Times New Roman"/>
          <w:sz w:val="18"/>
          <w:szCs w:val="18"/>
          <w:color w:val="auto"/>
        </w:rPr>
        <w:t>The Company’s subsidiaries, ProKidney-US and ProKidney Acquisition Company, are treated as a C corporation, and therefore a provision for federal and state taxes has been recorded.</w:t>
      </w:r>
    </w:p>
    <w:p>
      <w:pPr>
        <w:spacing w:after="0" w:line="54" w:lineRule="exact"/>
        <w:rPr>
          <w:sz w:val="20"/>
          <w:szCs w:val="20"/>
          <w:color w:val="auto"/>
        </w:rPr>
      </w:pPr>
    </w:p>
    <w:p>
      <w:pPr>
        <w:ind w:right="20" w:firstLine="524"/>
        <w:spacing w:after="0" w:line="261" w:lineRule="auto"/>
        <w:rPr>
          <w:sz w:val="20"/>
          <w:szCs w:val="20"/>
          <w:color w:val="auto"/>
        </w:rPr>
      </w:pPr>
      <w:r>
        <w:rPr>
          <w:rFonts w:ascii="Times New Roman" w:cs="Times New Roman" w:eastAsia="Times New Roman" w:hAnsi="Times New Roman"/>
          <w:sz w:val="18"/>
          <w:szCs w:val="18"/>
          <w:color w:val="auto"/>
        </w:rPr>
        <w:t>The Company’s subsidiary, ProKidney-KY, has been granted, by the Government in Council of the Cayman Islands, tax concessions under an undertaking certificate exempting it from any tax levied on profits, income, gains or appreciations in relation to its operations or in the nature of estate duty or inheritance tax for a period of twenty years from January 20, 2016. ProKidney-KY elected to be treated as an entity disregarded from its owner for U.S. tax purposes, and as a result, it has not recorded an income tax provision.</w:t>
      </w:r>
    </w:p>
    <w:p>
      <w:pPr>
        <w:spacing w:after="0" w:line="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provision for income tax expense consisted of the following for the years ended December 31, 2024, 2023 and 2022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18"/>
                <w:szCs w:val="18"/>
                <w:color w:val="auto"/>
              </w:rPr>
            </w:pPr>
          </w:p>
        </w:tc>
      </w:tr>
      <w:tr>
        <w:trPr>
          <w:trHeight w:val="216"/>
        </w:trPr>
        <w:tc>
          <w:tcPr>
            <w:tcW w:w="56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income tax (benefit) expense</w:t>
            </w:r>
          </w:p>
        </w:tc>
        <w:tc>
          <w:tcPr>
            <w:tcW w:w="12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(598 )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19"/>
                <w:szCs w:val="19"/>
                <w:color w:val="auto"/>
              </w:rPr>
            </w:pPr>
          </w:p>
        </w:tc>
      </w:tr>
      <w:tr>
        <w:trPr>
          <w:trHeight w:val="198"/>
        </w:trPr>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(598 )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FF0FC"/>
          </w:tcPr>
          <w:p>
            <w:pPr>
              <w:spacing w:after="0"/>
              <w:rPr>
                <w:sz w:val="19"/>
                <w:szCs w:val="19"/>
                <w:color w:val="auto"/>
              </w:rPr>
            </w:pP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-1010920</wp:posOffset>
            </wp:positionV>
            <wp:extent cx="6032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-1010920</wp:posOffset>
            </wp:positionV>
            <wp:extent cx="603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-1010920</wp:posOffset>
            </wp:positionV>
            <wp:extent cx="596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-316865</wp:posOffset>
            </wp:positionV>
            <wp:extent cx="6032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-316865</wp:posOffset>
            </wp:positionV>
            <wp:extent cx="603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-316865</wp:posOffset>
            </wp:positionV>
            <wp:extent cx="596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603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-8255</wp:posOffset>
            </wp:positionV>
            <wp:extent cx="603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603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03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-25400</wp:posOffset>
            </wp:positionV>
            <wp:extent cx="596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-8255</wp:posOffset>
            </wp:positionV>
            <wp:extent cx="596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difference between the statutory rate in the Cayman Islands of 0% and the effective income tax rate was as follows:</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51" w:name="page152"/>
    <w:bookmarkEnd w:id="151"/>
    <w:tbl>
      <w:tblPr>
        <w:tblLayout w:type="fixed"/>
        <w:tblInd w:w="34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44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r>
      <w:tr>
        <w:trPr>
          <w:trHeight w:val="209"/>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at statutory rate</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0.0 %</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0.0 %</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of taxed entity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Credits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(1.5 )</w:t>
            </w:r>
          </w:p>
        </w:tc>
        <w:tc>
          <w:tcPr>
            <w:tcW w:w="1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(2.2 )</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to return adjustment</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(3.2 )</w:t>
            </w:r>
          </w:p>
        </w:tc>
        <w:tc>
          <w:tcPr>
            <w:tcW w:w="1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(7.3 )</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(0.1 )</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(0.1 )</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(0.2 )</w:t>
            </w:r>
          </w:p>
        </w:tc>
      </w:tr>
      <w:tr>
        <w:trPr>
          <w:trHeight w:val="20"/>
        </w:trPr>
        <w:tc>
          <w:tcPr>
            <w:tcW w:w="54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0.4 %</w:t>
            </w: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(4.6 )%</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(0.6 )%</w:t>
            </w:r>
          </w:p>
        </w:tc>
      </w:tr>
    </w:tbl>
    <w:p>
      <w:pPr>
        <w:spacing w:after="0" w:line="198" w:lineRule="exact"/>
        <w:rPr>
          <w:sz w:val="20"/>
          <w:szCs w:val="20"/>
          <w:color w:val="auto"/>
        </w:rPr>
      </w:pPr>
    </w:p>
    <w:p>
      <w:pPr>
        <w:ind w:right="740" w:firstLine="524"/>
        <w:spacing w:after="0" w:line="282" w:lineRule="auto"/>
        <w:rPr>
          <w:sz w:val="20"/>
          <w:szCs w:val="20"/>
          <w:color w:val="auto"/>
        </w:rPr>
      </w:pPr>
      <w:r>
        <w:rPr>
          <w:rFonts w:ascii="Times New Roman" w:cs="Times New Roman" w:eastAsia="Times New Roman" w:hAnsi="Times New Roman"/>
          <w:sz w:val="18"/>
          <w:szCs w:val="18"/>
          <w:color w:val="auto"/>
        </w:rPr>
        <w:t>Components of the Company’s deferred tax assets and liabilities included in the consolidated balance sheet consisted of the following (in thousands):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59"/>
        </w:trPr>
        <w:tc>
          <w:tcPr>
            <w:tcW w:w="6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00" w:type="dxa"/>
            <w:vAlign w:val="bottom"/>
          </w:tcPr>
          <w:p>
            <w:pPr>
              <w:spacing w:after="0"/>
              <w:rPr>
                <w:sz w:val="22"/>
                <w:szCs w:val="22"/>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experimental costs capitalized</w:t>
            </w:r>
          </w:p>
        </w:tc>
        <w:tc>
          <w:tcPr>
            <w:tcW w:w="12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8"/>
                <w:szCs w:val="18"/>
                <w:color w:val="auto"/>
              </w:rPr>
            </w:pPr>
          </w:p>
        </w:tc>
      </w:tr>
      <w:tr>
        <w:trPr>
          <w:trHeight w:val="216"/>
        </w:trPr>
        <w:tc>
          <w:tcPr>
            <w:tcW w:w="6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Start-up costs</w:t>
            </w: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(6,928 )</w:t>
            </w:r>
          </w:p>
        </w:tc>
        <w:tc>
          <w:tcPr>
            <w:tcW w:w="1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(12,888 )</w:t>
            </w:r>
          </w:p>
        </w:tc>
      </w:tr>
      <w:tr>
        <w:trPr>
          <w:trHeight w:val="210"/>
        </w:trPr>
        <w:tc>
          <w:tcPr>
            <w:tcW w:w="6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36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top w:val="single" w:sz="8" w:color="CFF0FC"/>
            </w:tcBorders>
          </w:tcPr>
          <w:p>
            <w:pPr>
              <w:spacing w:after="0"/>
              <w:rPr>
                <w:sz w:val="18"/>
                <w:szCs w:val="18"/>
                <w:color w:val="auto"/>
              </w:rPr>
            </w:pPr>
          </w:p>
        </w:tc>
      </w:tr>
      <w:tr>
        <w:trPr>
          <w:trHeight w:val="209"/>
        </w:trPr>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18"/>
                <w:szCs w:val="18"/>
                <w:color w:val="auto"/>
              </w:rPr>
            </w:pPr>
          </w:p>
        </w:tc>
      </w:tr>
      <w:tr>
        <w:trPr>
          <w:trHeight w:val="216"/>
        </w:trPr>
        <w:tc>
          <w:tcPr>
            <w:tcW w:w="6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18"/>
                <w:szCs w:val="18"/>
                <w:color w:val="auto"/>
              </w:rPr>
            </w:pPr>
          </w:p>
        </w:tc>
      </w:tr>
      <w:tr>
        <w:trPr>
          <w:trHeight w:val="250"/>
        </w:trPr>
        <w:tc>
          <w:tcPr>
            <w:tcW w:w="6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deferred tax asset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-1302385</wp:posOffset>
            </wp:positionV>
            <wp:extent cx="596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-1302385</wp:posOffset>
            </wp:positionV>
            <wp:extent cx="596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-1019810</wp:posOffset>
            </wp:positionV>
            <wp:extent cx="596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-1019810</wp:posOffset>
            </wp:positionV>
            <wp:extent cx="596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-316865</wp:posOffset>
            </wp:positionV>
            <wp:extent cx="596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-316865</wp:posOffset>
            </wp:positionV>
            <wp:extent cx="596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96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96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firstLine="524"/>
        <w:spacing w:after="0" w:line="258" w:lineRule="auto"/>
        <w:rPr>
          <w:sz w:val="20"/>
          <w:szCs w:val="20"/>
          <w:color w:val="auto"/>
        </w:rPr>
      </w:pPr>
      <w:r>
        <w:rPr>
          <w:rFonts w:ascii="Times New Roman" w:cs="Times New Roman" w:eastAsia="Times New Roman" w:hAnsi="Times New Roman"/>
          <w:sz w:val="18"/>
          <w:szCs w:val="18"/>
          <w:color w:val="auto"/>
        </w:rPr>
        <w:t>As discussed in Note 6, the Company is party to a tax receivable agreement with a related party which provides for the payment by the Company to holders of PKLP prior to the Closing (“Closing ProKidney Unitholders”)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December 31, 2024.</w:t>
      </w:r>
    </w:p>
    <w:p>
      <w:pPr>
        <w:spacing w:after="0" w:line="75" w:lineRule="exact"/>
        <w:rPr>
          <w:sz w:val="20"/>
          <w:szCs w:val="20"/>
          <w:color w:val="auto"/>
        </w:rPr>
      </w:pPr>
    </w:p>
    <w:p>
      <w:pPr>
        <w:ind w:right="40" w:firstLine="524"/>
        <w:spacing w:after="0" w:line="25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of the deferred tax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management has concluded that it is not more likely than not that it will recognize the deferred tax assets, and the Company has provided a valuation allowance of $6,928,000 and $12,888,000, respectively for December 31, 2024 and 2023, to offset the net deferred tax assets.</w:t>
      </w:r>
    </w:p>
    <w:p>
      <w:pPr>
        <w:spacing w:after="0" w:line="79" w:lineRule="exact"/>
        <w:rPr>
          <w:sz w:val="20"/>
          <w:szCs w:val="20"/>
          <w:color w:val="auto"/>
        </w:rPr>
      </w:pPr>
    </w:p>
    <w:p>
      <w:pPr>
        <w:ind w:right="180" w:firstLine="524"/>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 Company has net operating loss carryforwards of $626,000 and $1,278,000, respectively, for federal and state purposes. For federal purposes have an indefinite life and for state income tax purposes, the losses begin to expire in 2038.</w:t>
      </w:r>
    </w:p>
    <w:p>
      <w:pPr>
        <w:jc w:val="center"/>
        <w:ind w:right="-7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152" w:name="page153"/>
    <w:bookmarkEnd w:id="152"/>
    <w:p>
      <w:pPr>
        <w:ind w:right="140" w:firstLine="524"/>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total unrecognized tax benefits for the years ended December 31, 2024 and 2023 consisted of the following (in thousands):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59"/>
        </w:trPr>
        <w:tc>
          <w:tcPr>
            <w:tcW w:w="6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00" w:type="dxa"/>
            <w:vAlign w:val="bottom"/>
          </w:tcPr>
          <w:p>
            <w:pPr>
              <w:spacing w:after="0"/>
              <w:rPr>
                <w:sz w:val="22"/>
                <w:szCs w:val="22"/>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benefits (gross):</w:t>
            </w:r>
          </w:p>
        </w:tc>
        <w:tc>
          <w:tcPr>
            <w:tcW w:w="12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Benefits at the beginning of the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 related to prior year tax positions</w:t>
            </w:r>
          </w:p>
        </w:tc>
        <w:tc>
          <w:tcPr>
            <w:tcW w:w="12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related to prior year tax positions</w:t>
            </w:r>
          </w:p>
        </w:tc>
        <w:tc>
          <w:tcPr>
            <w:tcW w:w="12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Benefits at the end of the year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-170815</wp:posOffset>
            </wp:positionV>
            <wp:extent cx="596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-170815</wp:posOffset>
            </wp:positionV>
            <wp:extent cx="596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right="120" w:firstLine="524"/>
        <w:spacing w:after="0" w:line="282" w:lineRule="auto"/>
        <w:rPr>
          <w:sz w:val="20"/>
          <w:szCs w:val="20"/>
          <w:color w:val="auto"/>
        </w:rPr>
      </w:pPr>
      <w:r>
        <w:rPr>
          <w:rFonts w:ascii="Times New Roman" w:cs="Times New Roman" w:eastAsia="Times New Roman" w:hAnsi="Times New Roman"/>
          <w:sz w:val="18"/>
          <w:szCs w:val="18"/>
          <w:color w:val="auto"/>
        </w:rPr>
        <w:t>There were no net unrecognized tax benefits as of December 31, 2024 which, if recognized, would affect our effective tax rate. We expect none of the gross unrecognized tax benefits will decrease within the next year.</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Tax years 2021 through 2024 remain subject to examination by federal and state authorities.</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tab/>
        <w:t>Leases</w:t>
      </w:r>
    </w:p>
    <w:p>
      <w:pPr>
        <w:spacing w:after="0" w:line="121" w:lineRule="exact"/>
        <w:rPr>
          <w:sz w:val="20"/>
          <w:szCs w:val="20"/>
          <w:color w:val="auto"/>
        </w:rPr>
      </w:pPr>
    </w:p>
    <w:p>
      <w:pPr>
        <w:ind w:right="40" w:firstLine="524"/>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real estate (primarily office space) and certain equipment with various expiration dates. The Company also has finance leases for certain equipment which are not considered material. During the year ended December 31, 2024, the Company purchased two multi-tenant buildings in Winston-Salem, North Carolina, which it had previously occupied under the terms of a real estate lease. In connection with this purchase, the Company assumed the existing lease agreements held with certain third parties which leased space in these buildings.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Leases</w:t>
      </w:r>
    </w:p>
    <w:p>
      <w:pPr>
        <w:spacing w:after="0" w:line="119" w:lineRule="exact"/>
        <w:rPr>
          <w:sz w:val="20"/>
          <w:szCs w:val="20"/>
          <w:color w:val="auto"/>
        </w:rPr>
      </w:pPr>
    </w:p>
    <w:p>
      <w:pPr>
        <w:ind w:right="840" w:firstLine="5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Company’s operating lease cost was $1,976,000, $1,062,000, and $551,000, respectively. During the year ended December 31, 2024, cash paid for operating leases was $1,392,000.</w:t>
      </w:r>
    </w:p>
    <w:p>
      <w:pPr>
        <w:spacing w:after="0" w:line="54" w:lineRule="exact"/>
        <w:rPr>
          <w:sz w:val="20"/>
          <w:szCs w:val="20"/>
          <w:color w:val="auto"/>
        </w:rPr>
      </w:pPr>
    </w:p>
    <w:p>
      <w:pPr>
        <w:ind w:right="400"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 of operating and finance lease assets and obligations in the Company's Consolidated Balance Sheets as of December 31, 2024 and December 31,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5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432"/>
        </w:trPr>
        <w:tc>
          <w:tcPr>
            <w:tcW w:w="58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3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432"/>
        </w:trPr>
        <w:tc>
          <w:tcPr>
            <w:tcW w:w="58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3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4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F-22</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-942340</wp:posOffset>
            </wp:positionV>
            <wp:extent cx="603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-942340</wp:posOffset>
            </wp:positionV>
            <wp:extent cx="603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3" w:name="page154"/>
    <w:bookmarkEnd w:id="153"/>
    <w:p>
      <w:pPr>
        <w:ind w:left="540"/>
        <w:spacing w:after="0"/>
        <w:rPr>
          <w:sz w:val="20"/>
          <w:szCs w:val="20"/>
          <w:color w:val="auto"/>
        </w:rPr>
      </w:pPr>
      <w:r>
        <w:rPr>
          <w:rFonts w:ascii="Times New Roman" w:cs="Times New Roman" w:eastAsia="Times New Roman" w:hAnsi="Times New Roman"/>
          <w:sz w:val="18"/>
          <w:szCs w:val="18"/>
          <w:color w:val="auto"/>
        </w:rPr>
        <w:t>Maturities of lease liabilities for the Company’s operating and finance leases are as follows as of December 31, 2024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940" w:type="dxa"/>
            <w:vAlign w:val="bottom"/>
            <w:shd w:val="clear" w:color="auto" w:fill="CFF0FC"/>
          </w:tcPr>
          <w:p>
            <w:pPr>
              <w:jc w:val="right"/>
              <w:ind w:right="543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2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jc w:val="right"/>
              <w:ind w:right="543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jc w:val="right"/>
              <w:ind w:right="543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22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(683 )</w:t>
            </w:r>
          </w:p>
        </w:tc>
        <w:tc>
          <w:tcPr>
            <w:tcW w:w="5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(17 )</w:t>
            </w: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(700 )</w:t>
            </w:r>
          </w:p>
        </w:tc>
      </w:tr>
      <w:tr>
        <w:trPr>
          <w:trHeight w:val="250"/>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2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-24765</wp:posOffset>
            </wp:positionV>
            <wp:extent cx="603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03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03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 w:firstLine="5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is 3.5 years, and 4.6 years for the finance lease. The weighted average discount rate is 10.6% and 6.5% for operating and finance leases,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Leases</w:t>
      </w:r>
    </w:p>
    <w:p>
      <w:pPr>
        <w:spacing w:after="0" w:line="119" w:lineRule="exact"/>
        <w:rPr>
          <w:sz w:val="20"/>
          <w:szCs w:val="20"/>
          <w:color w:val="auto"/>
        </w:rPr>
      </w:pPr>
    </w:p>
    <w:p>
      <w:pPr>
        <w:ind w:firstLine="524"/>
        <w:spacing w:after="0" w:line="258" w:lineRule="auto"/>
        <w:rPr>
          <w:sz w:val="20"/>
          <w:szCs w:val="20"/>
          <w:color w:val="auto"/>
        </w:rPr>
      </w:pPr>
      <w:r>
        <w:rPr>
          <w:rFonts w:ascii="Times New Roman" w:cs="Times New Roman" w:eastAsia="Times New Roman" w:hAnsi="Times New Roman"/>
          <w:sz w:val="18"/>
          <w:szCs w:val="18"/>
          <w:color w:val="auto"/>
        </w:rPr>
        <w:t>The Company leases a portion of its facilities in Winston-Salem, North Carolina under agreements that are classified as operating leases. In addition to the rental payments, tenants pay a fixed rate for their pro rata share of real estate taxes, insurance and other facility operating expenses these amounts are recognized as revenues on a straight-line basis over the term of the related leases. For leasing revenues where collectability is not considered probable, lease income is recognized on a cash basis and all previously recognized tenant accounts receivables, including straight-line rent, are fully reserved in the period in which the lease income is determined not to be probable of collection. These lease agreements terminate between 2026 and 2029.</w:t>
      </w:r>
    </w:p>
    <w:p>
      <w:pPr>
        <w:spacing w:after="0" w:line="75" w:lineRule="exact"/>
        <w:rPr>
          <w:sz w:val="20"/>
          <w:szCs w:val="20"/>
          <w:color w:val="auto"/>
        </w:rPr>
      </w:pPr>
    </w:p>
    <w:p>
      <w:pPr>
        <w:ind w:right="20" w:firstLine="524"/>
        <w:spacing w:after="0" w:line="266" w:lineRule="auto"/>
        <w:rPr>
          <w:sz w:val="20"/>
          <w:szCs w:val="20"/>
          <w:color w:val="auto"/>
        </w:rPr>
      </w:pPr>
      <w:r>
        <w:rPr>
          <w:rFonts w:ascii="Times New Roman" w:cs="Times New Roman" w:eastAsia="Times New Roman" w:hAnsi="Times New Roman"/>
          <w:sz w:val="18"/>
          <w:szCs w:val="18"/>
          <w:color w:val="auto"/>
        </w:rPr>
        <w:t>The leasing revenue for the year ended December 31, 2024 was $76,000 and there was no such revenue for the years ended December 31, 2023 and 2022. Future minimum lease payments under non-cancelable operating leases as of December 31, 2024 excluding the effect of straight-line rent and variable rental payments are as follows (in thousands):</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8680" w:type="dxa"/>
            <w:vAlign w:val="bottom"/>
            <w:shd w:val="clear" w:color="auto" w:fill="CFF0FC"/>
          </w:tcPr>
          <w:p>
            <w:pPr>
              <w:jc w:val="right"/>
              <w:ind w:right="817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FF0FC"/>
          </w:tcPr>
          <w:p>
            <w:pPr>
              <w:spacing w:after="0"/>
              <w:rPr>
                <w:sz w:val="18"/>
                <w:szCs w:val="18"/>
                <w:color w:val="auto"/>
              </w:rPr>
            </w:pPr>
          </w:p>
        </w:tc>
      </w:tr>
      <w:tr>
        <w:trPr>
          <w:trHeight w:val="216"/>
        </w:trPr>
        <w:tc>
          <w:tcPr>
            <w:tcW w:w="8680" w:type="dxa"/>
            <w:vAlign w:val="bottom"/>
          </w:tcPr>
          <w:p>
            <w:pPr>
              <w:jc w:val="right"/>
              <w:ind w:right="817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8"/>
                <w:szCs w:val="18"/>
                <w:color w:val="auto"/>
              </w:rPr>
            </w:pPr>
          </w:p>
        </w:tc>
      </w:tr>
      <w:tr>
        <w:trPr>
          <w:trHeight w:val="216"/>
        </w:trPr>
        <w:tc>
          <w:tcPr>
            <w:tcW w:w="8680" w:type="dxa"/>
            <w:vAlign w:val="bottom"/>
            <w:shd w:val="clear" w:color="auto" w:fill="CFF0FC"/>
          </w:tcPr>
          <w:p>
            <w:pPr>
              <w:jc w:val="right"/>
              <w:ind w:right="817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FF0FC"/>
          </w:tcPr>
          <w:p>
            <w:pPr>
              <w:spacing w:after="0"/>
              <w:rPr>
                <w:sz w:val="18"/>
                <w:szCs w:val="18"/>
                <w:color w:val="auto"/>
              </w:rPr>
            </w:pPr>
          </w:p>
        </w:tc>
      </w:tr>
      <w:tr>
        <w:trPr>
          <w:trHeight w:val="216"/>
        </w:trPr>
        <w:tc>
          <w:tcPr>
            <w:tcW w:w="8680" w:type="dxa"/>
            <w:vAlign w:val="bottom"/>
          </w:tcPr>
          <w:p>
            <w:pPr>
              <w:jc w:val="right"/>
              <w:ind w:right="817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r>
      <w:tr>
        <w:trPr>
          <w:trHeight w:val="216"/>
        </w:trPr>
        <w:tc>
          <w:tcPr>
            <w:tcW w:w="8680" w:type="dxa"/>
            <w:vAlign w:val="bottom"/>
            <w:shd w:val="clear" w:color="auto" w:fill="CFF0FC"/>
          </w:tcPr>
          <w:p>
            <w:pPr>
              <w:jc w:val="right"/>
              <w:ind w:right="8170"/>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r>
      <w:tr>
        <w:trPr>
          <w:trHeight w:val="216"/>
        </w:trPr>
        <w:tc>
          <w:tcPr>
            <w:tcW w:w="8680" w:type="dxa"/>
            <w:vAlign w:val="bottom"/>
          </w:tcPr>
          <w:p>
            <w:pPr>
              <w:jc w:val="right"/>
              <w:ind w:right="7830"/>
              <w:spacing w:after="0"/>
              <w:rPr>
                <w:sz w:val="20"/>
                <w:szCs w:val="20"/>
                <w:color w:val="auto"/>
              </w:rPr>
            </w:pPr>
            <w:r>
              <w:rPr>
                <w:rFonts w:ascii="Times New Roman" w:cs="Times New Roman" w:eastAsia="Times New Roman" w:hAnsi="Times New Roman"/>
                <w:sz w:val="18"/>
                <w:szCs w:val="18"/>
                <w:color w:val="auto"/>
                <w:w w:val="98"/>
              </w:rPr>
              <w:t>Thereafter</w:t>
            </w:r>
          </w:p>
        </w:tc>
        <w:tc>
          <w:tcPr>
            <w:tcW w:w="3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tcBorders>
              <w:bottom w:val="single" w:sz="8" w:color="CFF0FC"/>
            </w:tcBorders>
            <w:shd w:val="clear" w:color="auto" w:fill="CFF0FC"/>
          </w:tcPr>
          <w:p>
            <w:pPr>
              <w:jc w:val="right"/>
              <w:ind w:right="811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-24765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-7620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Related Party Transactions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119" w:lineRule="exact"/>
        <w:rPr>
          <w:sz w:val="20"/>
          <w:szCs w:val="20"/>
          <w:color w:val="auto"/>
        </w:rPr>
      </w:pPr>
    </w:p>
    <w:p>
      <w:pPr>
        <w:ind w:firstLine="524"/>
        <w:spacing w:after="0" w:line="252" w:lineRule="auto"/>
        <w:rPr>
          <w:sz w:val="20"/>
          <w:szCs w:val="20"/>
          <w:color w:val="auto"/>
        </w:rPr>
      </w:pPr>
      <w:r>
        <w:rPr>
          <w:rFonts w:ascii="Times New Roman" w:cs="Times New Roman" w:eastAsia="Times New Roman" w:hAnsi="Times New Roman"/>
          <w:sz w:val="18"/>
          <w:szCs w:val="18"/>
          <w:color w:val="auto"/>
        </w:rPr>
        <w:t>On the Closing Date, the Company entered into an exchange agreement with PKLP and certain Closing ProKidney Unitholders (the “Exchange Agreement”) pursuant to which, subject to the procedures and restrictions therein, from and after the waiver or expiration of any contractual lock-up period (including pursuant to the Lock-Up Agreement (as defined below)) the holders of Post-Combination ProKidney Common Units as defined in the Exchange Agreement (or certain permitted transferees thereof) would have the right from time to time at and after 180 days following the Closing to exchange their Post-Combination ProKidney Common Units and an equal number of Class B ordinary shares of the Company on a one-for-one basis for Class A ordinary shares of the Company (the “Exchange”); provided, that, subject to certain exceptions, the Company, at its sole election, subject to certain restrictions, may, other than in the case of certain secondary offerings, instead settle all or a portion of the Exchange in cash based on a volume weighted average price (“VWAP”) of a Class A ordinary share. The Exchange Agreement provides that, as a general matter, a holder of Post-Combination ProKidney Common Units will not have the right to exchange Post-Combination ProKidney Common Units if the Company determines that such exchange would be prohibited by law or regulation or would violate other agreements with the Company and its subsidiaries to which the holder of Post-Combination ProKidney Common Units may be subject, including the Second Amended and Restated ProKidney Limited Partnership Agreement and the Exchange Agreement.</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19" w:lineRule="exact"/>
        <w:rPr>
          <w:sz w:val="20"/>
          <w:szCs w:val="20"/>
          <w:color w:val="auto"/>
        </w:rPr>
      </w:pPr>
    </w:p>
    <w:p>
      <w:pPr>
        <w:ind w:firstLine="524"/>
        <w:spacing w:after="0" w:line="252" w:lineRule="auto"/>
        <w:rPr>
          <w:sz w:val="20"/>
          <w:szCs w:val="20"/>
          <w:color w:val="auto"/>
        </w:rPr>
      </w:pPr>
      <w:r>
        <w:rPr>
          <w:rFonts w:ascii="Times New Roman" w:cs="Times New Roman" w:eastAsia="Times New Roman" w:hAnsi="Times New Roman"/>
          <w:sz w:val="18"/>
          <w:szCs w:val="18"/>
          <w:color w:val="auto"/>
        </w:rPr>
        <w:t>On the Closing Date, the Company, SCS Sponsor III LLC and certain Closing ProKidney Unitholders entered into a lock-up agreement (the “Lock-Up Agreement”). The Lock-Up Agreement contains certain restrictions on transfer with respect to the SCS Sponsor III LLC and the Closing ProKidney Unitholders party thereto. Such restrictions began at the Closing and would end on the earlier of (i) the date that is 180 days after the Closing and (ii)(a) for 33% of the Lock-Up Shares (other than the Earnout Shares and the Private Placement Shares), the date on which the last reported sale price of a Class A ordinary share of the Company equals or exceeds $12.50 per share for any 20 trading days within any 30-trading day period commencing at least 30 days after the Closing and (b) for an additional 50% of the Lock-Up Shares (other than the Earnout Shares and the Private Placement Shares (as each such term is defined in the Lock-Up Agreement)), the date on which the last reported sale price of a Class A ordinary share of the Company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PKLP receives notice of any regulatory market authorization, including full or conditional authorization, to market its lead product candidate, Renal Autologous Cell Therapy (but, in any event, not earlier than 180 days following the Closing or (in the case of Earnout Shares) the date of issuance); and (iii) the lock-up period for the Private Placement Shares expired 30 days after the Closing. The restrictions on transfer set forth in the Lockup Agreement are subject to customary exceptions.</w:t>
      </w:r>
    </w:p>
    <w:p>
      <w:pPr>
        <w:spacing w:after="0" w:line="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During January 2023, the lock-up period for 50% of the shares held by the Closing ProKidney Unitholders (other than the Earnout Shares) expired.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19" w:lineRule="exact"/>
        <w:rPr>
          <w:sz w:val="20"/>
          <w:szCs w:val="20"/>
          <w:color w:val="auto"/>
        </w:rPr>
      </w:pPr>
    </w:p>
    <w:p>
      <w:pPr>
        <w:ind w:firstLine="524"/>
        <w:spacing w:after="0" w:line="258" w:lineRule="auto"/>
        <w:rPr>
          <w:sz w:val="20"/>
          <w:szCs w:val="20"/>
          <w:color w:val="auto"/>
        </w:rPr>
      </w:pPr>
      <w:r>
        <w:rPr>
          <w:rFonts w:ascii="Times New Roman" w:cs="Times New Roman" w:eastAsia="Times New Roman" w:hAnsi="Times New Roman"/>
          <w:sz w:val="18"/>
          <w:szCs w:val="18"/>
          <w:color w:val="auto"/>
        </w:rPr>
        <w:t>On the Closing Date, the Company entered into a tax receivable agreement (the “Tax Receivable Agreement”) with the Closing ProKidney Unitholders. Pursuant to the Tax Receivable Agreement, among other things, the Company will be required to pay the Closing ProKidney Unitholders party thereto 85% of certain tax savings recognized by the Company, if any, as a result of the increases in tax basis attributable to exchanges by the Closing ProKidney Unitholders of Post-Combination ProKidney Common Units for Class A ordinary shares of the Company or, subject to certain restrictions, cash, pursuant to the Exchange Agreement and certain other tax attributes of PKLP and tax benefits related to entering into the Tax Receivable Agreement.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Rights</w:t>
      </w:r>
    </w:p>
    <w:p>
      <w:pPr>
        <w:spacing w:after="0" w:line="119" w:lineRule="exact"/>
        <w:rPr>
          <w:sz w:val="20"/>
          <w:szCs w:val="20"/>
          <w:color w:val="auto"/>
        </w:rPr>
      </w:pPr>
    </w:p>
    <w:p>
      <w:pPr>
        <w:ind w:right="140" w:firstLine="524"/>
        <w:spacing w:after="0" w:line="258" w:lineRule="auto"/>
        <w:rPr>
          <w:sz w:val="20"/>
          <w:szCs w:val="20"/>
          <w:color w:val="auto"/>
        </w:rPr>
      </w:pPr>
      <w:r>
        <w:rPr>
          <w:rFonts w:ascii="Times New Roman" w:cs="Times New Roman" w:eastAsia="Times New Roman" w:hAnsi="Times New Roman"/>
          <w:sz w:val="18"/>
          <w:szCs w:val="18"/>
          <w:color w:val="auto"/>
        </w:rPr>
        <w:t>At the Closing, certain shareholders were issued an aggregate of 17,500,000 Earnout Restricted Common Units and 17,500,000 Earnout Restricted Stock Rights (collectively, the “Earnout Rights”). The Earnout Rights vest in three equal tranches if, during the five-year period after Closing, the VWAP of a Class A ordinary share reaches $15.00 per share, $20.00 per share and $25.00 per share. Likewise, the Earnout Rights will vest upon a change of control with a per share price exceeding those same VWAP thresholds within a five-year period immediately following the Closing. Upon vesting, the Earnout Rights will automatically convert into Post Combination ProKidney Common Units and Class B ordinary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Debt</w:t>
      </w:r>
    </w:p>
    <w:p>
      <w:pPr>
        <w:spacing w:after="0" w:line="119" w:lineRule="exact"/>
        <w:rPr>
          <w:sz w:val="20"/>
          <w:szCs w:val="20"/>
          <w:color w:val="auto"/>
        </w:rPr>
      </w:pPr>
    </w:p>
    <w:p>
      <w:pPr>
        <w:ind w:right="40" w:firstLine="524"/>
        <w:spacing w:after="0" w:line="261" w:lineRule="auto"/>
        <w:rPr>
          <w:sz w:val="20"/>
          <w:szCs w:val="20"/>
          <w:color w:val="auto"/>
        </w:rPr>
      </w:pPr>
      <w:r>
        <w:rPr>
          <w:rFonts w:ascii="Times New Roman" w:cs="Times New Roman" w:eastAsia="Times New Roman" w:hAnsi="Times New Roman"/>
          <w:sz w:val="18"/>
          <w:szCs w:val="18"/>
          <w:color w:val="auto"/>
        </w:rPr>
        <w:t>On January 18, 2022, in connection with the execution of the Business Combination Agreement, the Company entered into the Promissory Notes. Through such promissory notes, the holders could fund up to $100,000,000 to support the operational financing needs of the Company prior to the Closing. These notes bore interest at a rate of 3% per annum and were due upon the earliest of either (i) the date on which the Business Combination closed or (ii) January 17, 2023.</w:t>
      </w:r>
    </w:p>
    <w:p>
      <w:pPr>
        <w:spacing w:after="0" w:line="72" w:lineRule="exact"/>
        <w:rPr>
          <w:sz w:val="20"/>
          <w:szCs w:val="20"/>
          <w:color w:val="auto"/>
        </w:rPr>
      </w:pPr>
    </w:p>
    <w:p>
      <w:pPr>
        <w:ind w:right="460" w:firstLine="524"/>
        <w:spacing w:after="0" w:line="282" w:lineRule="auto"/>
        <w:rPr>
          <w:sz w:val="20"/>
          <w:szCs w:val="20"/>
          <w:color w:val="auto"/>
        </w:rPr>
      </w:pPr>
      <w:r>
        <w:rPr>
          <w:rFonts w:ascii="Times New Roman" w:cs="Times New Roman" w:eastAsia="Times New Roman" w:hAnsi="Times New Roman"/>
          <w:sz w:val="18"/>
          <w:szCs w:val="18"/>
          <w:color w:val="auto"/>
        </w:rPr>
        <w:t>Drawdowns on the Promissory Notes could be made in multiples of $10,000 unless otherwise agreed upon. Once an amount was drawn down under the Promissory Notes, it was no longer available for future drawdown requests even if prepaid.</w:t>
      </w:r>
    </w:p>
    <w:p>
      <w:pPr>
        <w:spacing w:after="0" w:line="54" w:lineRule="exact"/>
        <w:rPr>
          <w:sz w:val="20"/>
          <w:szCs w:val="20"/>
          <w:color w:val="auto"/>
        </w:rPr>
      </w:pPr>
    </w:p>
    <w:p>
      <w:pPr>
        <w:ind w:right="80" w:firstLine="5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borrowed $35,000,000 under the Promissory Notes. During the year ended December 31, 2022, the Company recognized interest expense of $207,000, respectively related to the Promissory Notes. The amounts due under the Promissory Notes were paid, and the Promissory Notes were effectively terminated upon Closing as described in Note 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Services Agreement between ProKidney-KY and Nefro Health</w:t>
      </w:r>
    </w:p>
    <w:p>
      <w:pPr>
        <w:spacing w:after="0" w:line="335" w:lineRule="exact"/>
        <w:rPr>
          <w:sz w:val="20"/>
          <w:szCs w:val="20"/>
          <w:color w:val="auto"/>
        </w:rPr>
      </w:pPr>
    </w:p>
    <w:p>
      <w:pPr>
        <w:ind w:right="20" w:firstLine="524"/>
        <w:spacing w:after="0" w:line="255" w:lineRule="auto"/>
        <w:rPr>
          <w:sz w:val="20"/>
          <w:szCs w:val="20"/>
          <w:color w:val="auto"/>
        </w:rPr>
      </w:pPr>
      <w:r>
        <w:rPr>
          <w:rFonts w:ascii="Times New Roman" w:cs="Times New Roman" w:eastAsia="Times New Roman" w:hAnsi="Times New Roman"/>
          <w:sz w:val="18"/>
          <w:szCs w:val="18"/>
          <w:color w:val="auto"/>
        </w:rPr>
        <w:t>On January 1, 2020, ProKidney-KY (formerly known as inRegen, and prior to that, RegenMed (Cayman) Ltd.) entered into a consulting services agreement with Nefro Health (“Nefro”), an Irish partnership controlled and majority-owned by Mr. Pablo Legorreta, a director of the Company, pursuant to which Nefro provides consulting services for the research and development of the Company’s product candidates, including the conduct of clinical trials in North America and the European Union, the design and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55" w:name="page156"/>
    <w:bookmarkEnd w:id="155"/>
    <w:p>
      <w:pPr>
        <w:spacing w:after="0" w:line="253" w:lineRule="auto"/>
        <w:rPr>
          <w:sz w:val="20"/>
          <w:szCs w:val="20"/>
          <w:color w:val="auto"/>
        </w:rPr>
      </w:pPr>
      <w:r>
        <w:rPr>
          <w:rFonts w:ascii="Times New Roman" w:cs="Times New Roman" w:eastAsia="Times New Roman" w:hAnsi="Times New Roman"/>
          <w:sz w:val="18"/>
          <w:szCs w:val="18"/>
          <w:color w:val="auto"/>
        </w:rPr>
        <w:t>manufacturing of ProKidney’s product candidates as well as pre-commercialization activities. Under the agreement, Nefro receives $25,000 per quarter and is reimbursed for any out-of-pocket expenses incurred in connection with activities Nefro conducted under the agreement. ProKidney-KY has paid Nefro an aggregate of $100,000 for each of the years ended December 31, 2024, 2023 and 2022.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ProKidney-KY will be obligated to pay Nefro any earned but unpaid consulting fee as of the termination date.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Services Agreement between ProKidney-US and Nefro Health</w:t>
      </w:r>
    </w:p>
    <w:p>
      <w:pPr>
        <w:spacing w:after="0" w:line="119" w:lineRule="exact"/>
        <w:rPr>
          <w:sz w:val="20"/>
          <w:szCs w:val="20"/>
          <w:color w:val="auto"/>
        </w:rPr>
      </w:pPr>
    </w:p>
    <w:p>
      <w:pPr>
        <w:jc w:val="both"/>
        <w:ind w:right="40" w:firstLine="524"/>
        <w:spacing w:after="0" w:line="257" w:lineRule="auto"/>
        <w:rPr>
          <w:sz w:val="20"/>
          <w:szCs w:val="20"/>
          <w:color w:val="auto"/>
        </w:rPr>
      </w:pPr>
      <w:r>
        <w:rPr>
          <w:rFonts w:ascii="Times New Roman" w:cs="Times New Roman" w:eastAsia="Times New Roman" w:hAnsi="Times New Roman"/>
          <w:sz w:val="18"/>
          <w:szCs w:val="18"/>
          <w:color w:val="auto"/>
        </w:rPr>
        <w:t>On January 1, 2020, ProKidney-US (formerly known as Twin City Bio, LLC) entered into a consulting services agreement with Nefro, pursuant to which Nefro provides consulting services for the research and development of the Company’s product candidates, including the conduct of clinical trials in North America and the European Union, the design and manufacturing of the Company’s product candidates as well as pre-commercialization activities.</w:t>
      </w:r>
    </w:p>
    <w:p>
      <w:pPr>
        <w:spacing w:after="0" w:line="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Under the agreement, Nefro receives $25,000 per quarter and is reimbursed for any out-of-pocket expenses incurred in connection with activities Nefro conducted under the agreement. ProKidney-US has paid Nefro an aggregate of $100,000 for each of the years ended December 31, 2024, 2023 and 2022.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w:t>
      </w:r>
    </w:p>
    <w:p>
      <w:pPr>
        <w:spacing w:after="0" w:line="1" w:lineRule="exact"/>
        <w:rPr>
          <w:sz w:val="20"/>
          <w:szCs w:val="20"/>
          <w:color w:val="auto"/>
        </w:rPr>
      </w:pPr>
    </w:p>
    <w:p>
      <w:pPr>
        <w:ind w:right="100" w:firstLine="8"/>
        <w:spacing w:after="0" w:line="253" w:lineRule="auto"/>
        <w:tabs>
          <w:tab w:leader="none" w:pos="34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ProKidney-US will be obligated to pay Nefro any earned but unpaid consulting fee as of the termination date.</w:t>
      </w: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tab/>
        <w:t>Redeemable Noncontrolling Interest</w:t>
      </w:r>
    </w:p>
    <w:p>
      <w:pPr>
        <w:spacing w:after="0" w:line="121"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8"/>
          <w:szCs w:val="18"/>
          <w:color w:val="auto"/>
        </w:rPr>
        <w:t>The Company is subject to the Exchange Agreement with respect to the Post-Combination ProKidney Common Units representing the outstanding 56.1% noncontrolling interest in PKLP (see Note 1). The Exchange Agreement requires the surrender of an equal number of Post-Combination ProKidney Common Units and Class B ordinary shares for (i) Class A ordinary shares on a one-for-one basis or (ii) cash (based on the fair market value of the Class A ordinary shares as determined pursuant to the Exchange Agreement), at the Company’s option (as the managing member of PKLP), subject to customary conversion rate adjustments for share splits, share dividends and reclassifications. The exchange value is determined based on a five-day VWAP of the Class A ordinary shares as defined in the Exchange Agreement, subject to customary conversion rate adjustments for share splits, share dividends and reclassifications.</w:t>
      </w:r>
    </w:p>
    <w:p>
      <w:pPr>
        <w:spacing w:after="0" w:line="81" w:lineRule="exact"/>
        <w:rPr>
          <w:sz w:val="20"/>
          <w:szCs w:val="20"/>
          <w:color w:val="auto"/>
        </w:rPr>
      </w:pPr>
    </w:p>
    <w:p>
      <w:pPr>
        <w:ind w:right="200" w:firstLine="524"/>
        <w:spacing w:after="0" w:line="261" w:lineRule="auto"/>
        <w:rPr>
          <w:sz w:val="20"/>
          <w:szCs w:val="20"/>
          <w:color w:val="auto"/>
        </w:rPr>
      </w:pPr>
      <w:r>
        <w:rPr>
          <w:rFonts w:ascii="Times New Roman" w:cs="Times New Roman" w:eastAsia="Times New Roman" w:hAnsi="Times New Roman"/>
          <w:sz w:val="18"/>
          <w:szCs w:val="18"/>
          <w:color w:val="auto"/>
        </w:rPr>
        <w:t>The redeemable noncontrolling interest is recognized at the higher of (1) its initial fair value plus accumulated earnings/losses associated with the noncontrolling interest or (2) the redemption value as of the balance sheet date. At December 31, 2024, the redeemable noncontrolling interest was recorded based on its initial fair value plus accumulated losses associated with the noncontrolling interest as this amount was higher than the redemption value as of the balance sheet date which was approximately $282,389,000.</w:t>
      </w:r>
    </w:p>
    <w:p>
      <w:pPr>
        <w:spacing w:after="0" w:line="72" w:lineRule="exact"/>
        <w:rPr>
          <w:sz w:val="20"/>
          <w:szCs w:val="20"/>
          <w:color w:val="auto"/>
        </w:rPr>
      </w:pPr>
    </w:p>
    <w:p>
      <w:pPr>
        <w:ind w:right="440" w:firstLine="524"/>
        <w:spacing w:after="0" w:line="266" w:lineRule="auto"/>
        <w:rPr>
          <w:sz w:val="20"/>
          <w:szCs w:val="20"/>
          <w:color w:val="auto"/>
        </w:rPr>
      </w:pPr>
      <w:r>
        <w:rPr>
          <w:rFonts w:ascii="Times New Roman" w:cs="Times New Roman" w:eastAsia="Times New Roman" w:hAnsi="Times New Roman"/>
          <w:sz w:val="18"/>
          <w:szCs w:val="18"/>
          <w:color w:val="auto"/>
        </w:rPr>
        <w:t>Changes in the Company’s ownership interest in PKLP while the Company retains its controlling interest in PKLP are accounted for as equity transactions, and the Company is required to adjust noncontrolling interest and equity for such changes. The following is a summary of net income attributable to the Company and transfers to noncontrolling interest: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0" w:right="380"/>
        <w:spacing w:after="0" w:line="257" w:lineRule="auto"/>
        <w:rPr>
          <w:sz w:val="20"/>
          <w:szCs w:val="20"/>
          <w:color w:val="auto"/>
        </w:rPr>
      </w:pPr>
      <w:r>
        <w:rPr>
          <w:rFonts w:ascii="Times New Roman" w:cs="Times New Roman" w:eastAsia="Times New Roman" w:hAnsi="Times New Roman"/>
          <w:sz w:val="18"/>
          <w:szCs w:val="18"/>
          <w:color w:val="auto"/>
        </w:rPr>
        <w:t>Net loss available to Class A ordinary shareholders (Increase)/Decrease in ProKidney Corp. accumulated deficit for impact of</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subsidiary equity-based compensation</w:t>
      </w:r>
    </w:p>
    <w:p>
      <w:pPr>
        <w:spacing w:after="0" w:line="9" w:lineRule="exact"/>
        <w:rPr>
          <w:sz w:val="20"/>
          <w:szCs w:val="20"/>
          <w:color w:val="auto"/>
        </w:rPr>
      </w:pPr>
    </w:p>
    <w:p>
      <w:pPr>
        <w:ind w:left="360"/>
        <w:spacing w:after="0" w:line="250" w:lineRule="auto"/>
        <w:rPr>
          <w:sz w:val="20"/>
          <w:szCs w:val="20"/>
          <w:color w:val="auto"/>
        </w:rPr>
      </w:pPr>
      <w:r>
        <w:rPr>
          <w:rFonts w:ascii="Times New Roman" w:cs="Times New Roman" w:eastAsia="Times New Roman" w:hAnsi="Times New Roman"/>
          <w:sz w:val="18"/>
          <w:szCs w:val="18"/>
          <w:color w:val="auto"/>
        </w:rPr>
        <w:t>(Increase)/Decrease in ProKidney Corp. additional paid-in capital for exchange</w:t>
      </w:r>
    </w:p>
    <w:p>
      <w:pPr>
        <w:spacing w:after="0" w:line="1" w:lineRule="exact"/>
        <w:rPr>
          <w:sz w:val="20"/>
          <w:szCs w:val="20"/>
          <w:color w:val="auto"/>
        </w:rPr>
      </w:pPr>
    </w:p>
    <w:p>
      <w:pPr>
        <w:ind w:left="360" w:firstLine="135"/>
        <w:spacing w:after="0" w:line="250" w:lineRule="auto"/>
        <w:rPr>
          <w:sz w:val="20"/>
          <w:szCs w:val="20"/>
          <w:color w:val="auto"/>
        </w:rPr>
      </w:pPr>
      <w:r>
        <w:rPr>
          <w:rFonts w:ascii="Times New Roman" w:cs="Times New Roman" w:eastAsia="Times New Roman" w:hAnsi="Times New Roman"/>
          <w:sz w:val="18"/>
          <w:szCs w:val="18"/>
          <w:color w:val="auto"/>
        </w:rPr>
        <w:t>of Common Units in ProKidney LP for Class A ordinary shares (Increase)/Decrease in ProKidney Corp. additional paid-in capital for vesting of</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Restricted Common Units in ProKidney LP</w:t>
      </w:r>
    </w:p>
    <w:p>
      <w:pPr>
        <w:spacing w:after="0" w:line="9" w:lineRule="exact"/>
        <w:rPr>
          <w:sz w:val="20"/>
          <w:szCs w:val="20"/>
          <w:color w:val="auto"/>
        </w:rPr>
      </w:pPr>
    </w:p>
    <w:p>
      <w:pPr>
        <w:ind w:left="360" w:right="40"/>
        <w:spacing w:after="0" w:line="250" w:lineRule="auto"/>
        <w:rPr>
          <w:sz w:val="20"/>
          <w:szCs w:val="20"/>
          <w:color w:val="auto"/>
        </w:rPr>
      </w:pPr>
      <w:r>
        <w:rPr>
          <w:rFonts w:ascii="Times New Roman" w:cs="Times New Roman" w:eastAsia="Times New Roman" w:hAnsi="Times New Roman"/>
          <w:sz w:val="18"/>
          <w:szCs w:val="18"/>
          <w:color w:val="auto"/>
        </w:rPr>
        <w:t>Change from net loss available to Class A ordinary shareholders and change</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ownership interest in ProKidney LP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For the Period from</w:t>
            </w:r>
          </w:p>
        </w:tc>
      </w:tr>
      <w:tr>
        <w:trPr>
          <w:trHeight w:val="216"/>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July 11, 2022</w:t>
            </w:r>
          </w:p>
        </w:tc>
      </w:tr>
      <w:tr>
        <w:trPr>
          <w:trHeight w:val="216"/>
        </w:trPr>
        <w:tc>
          <w:tcPr>
            <w:tcW w:w="1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72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through December</w:t>
            </w:r>
          </w:p>
        </w:tc>
      </w:tr>
      <w:tr>
        <w:trPr>
          <w:trHeight w:val="238"/>
        </w:trPr>
        <w:tc>
          <w:tcPr>
            <w:tcW w:w="18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6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31, 2022</w:t>
            </w:r>
          </w:p>
        </w:tc>
        <w:tc>
          <w:tcPr>
            <w:tcW w:w="80" w:type="dxa"/>
            <w:vAlign w:val="bottom"/>
          </w:tcPr>
          <w:p>
            <w:pPr>
              <w:spacing w:after="0"/>
              <w:rPr>
                <w:sz w:val="20"/>
                <w:szCs w:val="20"/>
                <w:color w:val="auto"/>
              </w:rPr>
            </w:pPr>
          </w:p>
        </w:tc>
      </w:tr>
      <w:tr>
        <w:trPr>
          <w:trHeight w:val="228"/>
        </w:trPr>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(61,186</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630"/>
        </w:trPr>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80" w:type="dxa"/>
            <w:vAlign w:val="bottom"/>
          </w:tcPr>
          <w:p>
            <w:pPr>
              <w:spacing w:after="0"/>
              <w:rPr>
                <w:sz w:val="24"/>
                <w:szCs w:val="24"/>
                <w:color w:val="auto"/>
              </w:rPr>
            </w:pPr>
          </w:p>
        </w:tc>
      </w:tr>
      <w:tr>
        <w:trPr>
          <w:trHeight w:val="648"/>
        </w:trPr>
        <w:tc>
          <w:tcPr>
            <w:tcW w:w="580" w:type="dxa"/>
            <w:vAlign w:val="bottom"/>
          </w:tcPr>
          <w:p>
            <w:pPr>
              <w:spacing w:after="0"/>
              <w:rPr>
                <w:sz w:val="24"/>
                <w:szCs w:val="24"/>
                <w:color w:val="auto"/>
              </w:rPr>
            </w:pP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(15,441 )</w:t>
            </w:r>
          </w:p>
        </w:tc>
        <w:tc>
          <w:tcPr>
            <w:tcW w:w="580" w:type="dxa"/>
            <w:vAlign w:val="bottom"/>
          </w:tcPr>
          <w:p>
            <w:pPr>
              <w:spacing w:after="0"/>
              <w:rPr>
                <w:sz w:val="24"/>
                <w:szCs w:val="24"/>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(9,500 )</w:t>
            </w:r>
          </w:p>
        </w:tc>
        <w:tc>
          <w:tcPr>
            <w:tcW w:w="20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34"/>
        </w:trPr>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14,786</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(4,795 )</w:t>
            </w:r>
          </w:p>
        </w:tc>
        <w:tc>
          <w:tcPr>
            <w:tcW w:w="20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(321 )</w:t>
            </w:r>
          </w:p>
        </w:tc>
      </w:tr>
      <w:tr>
        <w:trPr>
          <w:trHeight w:val="20"/>
        </w:trPr>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0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(56,978 )</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(42,758 )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(8,571 )</w:t>
            </w:r>
          </w:p>
        </w:tc>
      </w:tr>
      <w:tr>
        <w:trPr>
          <w:trHeight w:val="20"/>
        </w:trPr>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-1782445</wp:posOffset>
            </wp:positionV>
            <wp:extent cx="6703695" cy="1371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7">
                      <a:extLst>
                        <a:ext uri="{28A0092B-C50C-407E-A947-70E740481C1C}"/>
                      </a:extLst>
                    </a:blip>
                    <a:srcRect/>
                    <a:stretch>
                      <a:fillRect/>
                    </a:stretch>
                  </pic:blipFill>
                  <pic:spPr bwMode="auto">
                    <a:xfrm>
                      <a:off x="0" y="0"/>
                      <a:ext cx="6703695" cy="137160"/>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-1233805</wp:posOffset>
            </wp:positionV>
            <wp:extent cx="6703695" cy="4114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8">
                      <a:extLst>
                        <a:ext uri="{28A0092B-C50C-407E-A947-70E740481C1C}"/>
                      </a:extLst>
                    </a:blip>
                    <a:srcRect/>
                    <a:stretch>
                      <a:fillRect/>
                    </a:stretch>
                  </pic:blipFill>
                  <pic:spPr bwMode="auto">
                    <a:xfrm>
                      <a:off x="0" y="0"/>
                      <a:ext cx="6703695" cy="411480"/>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-410845</wp:posOffset>
            </wp:positionV>
            <wp:extent cx="6703695" cy="4114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9">
                      <a:extLst>
                        <a:ext uri="{28A0092B-C50C-407E-A947-70E740481C1C}"/>
                      </a:extLst>
                    </a:blip>
                    <a:srcRect/>
                    <a:stretch>
                      <a:fillRect/>
                    </a:stretch>
                  </pic:blipFill>
                  <pic:spPr bwMode="auto">
                    <a:xfrm>
                      <a:off x="0" y="0"/>
                      <a:ext cx="6703695" cy="411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100"/>
            <w:col w:w="5800"/>
          </w:cols>
          <w:pgMar w:left="320" w:top="981" w:right="339" w:bottom="1440" w:gutter="0" w:footer="0" w:header="0"/>
        </w:sectPr>
      </w:pPr>
    </w:p>
    <w:p>
      <w:pPr>
        <w:spacing w:after="0" w:line="3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tab/>
        <w:t>Shareholders’ Equity</w:t>
      </w:r>
    </w:p>
    <w:p>
      <w:pPr>
        <w:spacing w:after="0" w:line="121" w:lineRule="exact"/>
        <w:rPr>
          <w:sz w:val="20"/>
          <w:szCs w:val="20"/>
          <w:color w:val="auto"/>
        </w:rPr>
      </w:pPr>
    </w:p>
    <w:p>
      <w:pPr>
        <w:jc w:val="both"/>
        <w:ind w:right="100" w:firstLine="524"/>
        <w:spacing w:after="0" w:line="282" w:lineRule="auto"/>
        <w:rPr>
          <w:sz w:val="20"/>
          <w:szCs w:val="20"/>
          <w:color w:val="auto"/>
        </w:rPr>
      </w:pPr>
      <w:r>
        <w:rPr>
          <w:rFonts w:ascii="Times New Roman" w:cs="Times New Roman" w:eastAsia="Times New Roman" w:hAnsi="Times New Roman"/>
          <w:sz w:val="18"/>
          <w:szCs w:val="18"/>
          <w:color w:val="auto"/>
        </w:rPr>
        <w:t>In conjunction with the Business Combination, 186,500,000 Class A Units and 27,100,937 Class B and B-1 Units of PKLP were converted into an aggregate of 170,723,961 Class B ordinary shares of the Company and 9,276,039 Restricted Stock Rights in the Company (the “Restricted Stock Rights”).</w:t>
      </w:r>
    </w:p>
    <w:p>
      <w:pPr>
        <w:spacing w:after="0" w:line="54" w:lineRule="exact"/>
        <w:rPr>
          <w:sz w:val="20"/>
          <w:szCs w:val="20"/>
          <w:color w:val="auto"/>
        </w:rPr>
      </w:pPr>
    </w:p>
    <w:p>
      <w:pPr>
        <w:jc w:val="both"/>
        <w:ind w:right="60" w:firstLine="524"/>
        <w:spacing w:after="0" w:line="266" w:lineRule="auto"/>
        <w:rPr>
          <w:sz w:val="20"/>
          <w:szCs w:val="20"/>
          <w:color w:val="auto"/>
        </w:rPr>
      </w:pPr>
      <w:r>
        <w:rPr>
          <w:rFonts w:ascii="Times New Roman" w:cs="Times New Roman" w:eastAsia="Times New Roman" w:hAnsi="Times New Roman"/>
          <w:sz w:val="18"/>
          <w:szCs w:val="18"/>
          <w:color w:val="auto"/>
        </w:rPr>
        <w:t>Subsequent to the Business Combination, the Company’s authorized share capital consists of 1,005,000,000 shares including (i) 500,000,000 Class A ordinary shares, par value $0.0001 per share, (ii) 500,000,000 Class B ordinary shares, par value $0.0001 per share and (iii) 5,000,000 preference shares, par value $0.0001 per share.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Offerings</w:t>
      </w: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June 2024, the Company sold 46,886,452 of its Class A ordinary shares in an underwritten public offering at a price of $2.42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in June 2024, the Company sold 11,030,574 of its Class A ordinary shares to certain investment entities at price of $2.42 per share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 registered direct offering pursuant to share purchase agreements. The net proceeds to the Company from the offerings were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$136,618,000, after deducting the underwriting discounts and commissions and offering expenses payable by the Company. The shares were offered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 pursuant to the Company’s shelf registration statement on Form S-3.</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 Market Sale Agreement</w:t>
      </w:r>
    </w:p>
    <w:p>
      <w:pPr>
        <w:spacing w:after="0" w:line="126" w:lineRule="exact"/>
        <w:rPr>
          <w:sz w:val="20"/>
          <w:szCs w:val="20"/>
          <w:color w:val="auto"/>
        </w:rPr>
      </w:pPr>
    </w:p>
    <w:p>
      <w:pPr>
        <w:jc w:val="both"/>
        <w:ind w:right="240" w:firstLine="524"/>
        <w:spacing w:after="0" w:line="237" w:lineRule="auto"/>
        <w:rPr>
          <w:sz w:val="20"/>
          <w:szCs w:val="20"/>
          <w:color w:val="auto"/>
        </w:rPr>
      </w:pPr>
      <w:r>
        <w:rPr>
          <w:rFonts w:ascii="Times New Roman" w:cs="Times New Roman" w:eastAsia="Times New Roman" w:hAnsi="Times New Roman"/>
          <w:sz w:val="18"/>
          <w:szCs w:val="18"/>
          <w:color w:val="auto"/>
        </w:rPr>
        <w:t>In January 2024,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with Jefferies LLC (“Jefferies”) as the sales agent, pursuant to which the Company may offer and sell, from time to time, through Jefferies, shares of its Class A ordinary shares having an aggregate offering price of up to $100,000,000 by any method deemed to be an “at the market offering” as defined in Rule 415(a)(4) under the Securities Act. The shares are offered and sold pursuant to the Company’s shelf registration statement on Form S-3.</w:t>
      </w:r>
    </w:p>
    <w:p>
      <w:pPr>
        <w:spacing w:after="0" w:line="93" w:lineRule="exact"/>
        <w:rPr>
          <w:sz w:val="20"/>
          <w:szCs w:val="20"/>
          <w:color w:val="auto"/>
        </w:rPr>
      </w:pPr>
    </w:p>
    <w:p>
      <w:pPr>
        <w:ind w:right="120" w:firstLine="5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sold 4,170,791 of its Class A ordinary shares under the Sales Agreement for net proceeds of $7,707,000.</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Class A Ordinary Shares</w:t>
      </w:r>
    </w:p>
    <w:p>
      <w:pPr>
        <w:spacing w:after="0" w:line="119" w:lineRule="exact"/>
        <w:rPr>
          <w:sz w:val="20"/>
          <w:szCs w:val="20"/>
          <w:color w:val="auto"/>
        </w:rPr>
      </w:pPr>
    </w:p>
    <w:p>
      <w:pPr>
        <w:ind w:right="80" w:firstLine="524"/>
        <w:spacing w:after="0" w:line="282" w:lineRule="auto"/>
        <w:rPr>
          <w:sz w:val="20"/>
          <w:szCs w:val="20"/>
          <w:color w:val="auto"/>
        </w:rPr>
      </w:pPr>
      <w:r>
        <w:rPr>
          <w:rFonts w:ascii="Times New Roman" w:cs="Times New Roman" w:eastAsia="Times New Roman" w:hAnsi="Times New Roman"/>
          <w:sz w:val="18"/>
          <w:szCs w:val="18"/>
          <w:color w:val="auto"/>
        </w:rPr>
        <w:t>Each holder of Class A ordinary shares is entitled to one vote for each Class A ordinary share held of record by such holder on all matters on which shareholders generally are entitled to vote.</w:t>
      </w:r>
    </w:p>
    <w:p>
      <w:pPr>
        <w:spacing w:after="0" w:line="54"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preference shares, the holders of Class A ordinary shares are entitled to receive ratably such dividends, if any, as may be declared from time to time by the Board out of funds legally available therefor. All dividends are subject to certain restrictions under Cayman Islands law, namely that we may only pay dividends out of profits or share premium account, and provided always that, in no circumstances may a dividend be paid if this would result in us being unable to pay our debts as they fall due in the ordinary course of business.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57" w:name="page158"/>
    <w:bookmarkEnd w:id="157"/>
    <w:p>
      <w:pPr>
        <w:jc w:val="both"/>
        <w:ind w:right="240" w:firstLine="524"/>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Company’s Class A ordinary shares are entitled to share ratably in all assets remaining after payment of our debts and other liabilities, subject to prior distribution rights of preference shares or any class or series of shares having a preference over the Company’s Class A ordinary shares, then outstanding, if any.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Class B Ordinary Shares</w:t>
      </w:r>
    </w:p>
    <w:p>
      <w:pPr>
        <w:spacing w:after="0" w:line="119" w:lineRule="exact"/>
        <w:rPr>
          <w:sz w:val="20"/>
          <w:szCs w:val="20"/>
          <w:color w:val="auto"/>
        </w:rPr>
      </w:pPr>
    </w:p>
    <w:p>
      <w:pPr>
        <w:jc w:val="both"/>
        <w:ind w:right="240" w:firstLine="524"/>
        <w:spacing w:after="0" w:line="266" w:lineRule="auto"/>
        <w:rPr>
          <w:sz w:val="20"/>
          <w:szCs w:val="20"/>
          <w:color w:val="auto"/>
        </w:rPr>
      </w:pPr>
      <w:r>
        <w:rPr>
          <w:rFonts w:ascii="Times New Roman" w:cs="Times New Roman" w:eastAsia="Times New Roman" w:hAnsi="Times New Roman"/>
          <w:sz w:val="18"/>
          <w:szCs w:val="18"/>
          <w:color w:val="auto"/>
        </w:rPr>
        <w:t>Each holder of the Company’s Class B ordinary shares is entitled to one vote for each Class B ordinary share held of record by such holder on all matters on which shareholders generally are entitled to vote. The holders of the Company’s Class B ordinary shares will not participate in any dividends declared by our board of directors.</w:t>
      </w:r>
    </w:p>
    <w:p>
      <w:pPr>
        <w:spacing w:after="0" w:line="68" w:lineRule="exact"/>
        <w:rPr>
          <w:sz w:val="20"/>
          <w:szCs w:val="20"/>
          <w:color w:val="auto"/>
        </w:rPr>
      </w:pPr>
    </w:p>
    <w:p>
      <w:pPr>
        <w:ind w:right="100" w:firstLine="524"/>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our Class B ordinary shares are entitled to a ratable amount equal to the capital paid up on such Class B ordinary shares of all assets remaining after payment of our debts and other liabilities, subject to prior distribution rights of preference shares or any class or series of shares having a preference over the Company’s Class B ordinary shares, then outstanding, if any. The Company’s Class B ordinary shares shall not carry any other right to participate in our profits or assets.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Rights</w:t>
      </w:r>
    </w:p>
    <w:p>
      <w:pPr>
        <w:spacing w:after="0" w:line="119" w:lineRule="exact"/>
        <w:rPr>
          <w:sz w:val="20"/>
          <w:szCs w:val="20"/>
          <w:color w:val="auto"/>
        </w:rPr>
      </w:pPr>
    </w:p>
    <w:p>
      <w:pPr>
        <w:ind w:right="120" w:firstLine="524"/>
        <w:spacing w:after="0" w:line="258" w:lineRule="auto"/>
        <w:rPr>
          <w:sz w:val="20"/>
          <w:szCs w:val="20"/>
          <w:color w:val="auto"/>
        </w:rPr>
      </w:pPr>
      <w:r>
        <w:rPr>
          <w:rFonts w:ascii="Times New Roman" w:cs="Times New Roman" w:eastAsia="Times New Roman" w:hAnsi="Times New Roman"/>
          <w:sz w:val="18"/>
          <w:szCs w:val="18"/>
          <w:color w:val="auto"/>
        </w:rPr>
        <w:t>At the closing of the Business Combination, certain shareholders were issued an aggregate of 17,500,000 Earnout Rights. The Earnout Rights vest in three equal tranches if, during the five-year period after Closing, the VWAP of a Class A ordinary share reaches $15.00 per share, $20.00 per share and $25.00 per share. Likewise, the Earnout Rights will vest upon a change of control with a per share price exceeding those same VWAP thresholds within a five-year period immediately following the Closing. Upon vesting, the Earnout Rights will automatically convert into Post-Combination ProKidney Common Units and Class B ordinary shares.</w:t>
      </w:r>
    </w:p>
    <w:p>
      <w:pPr>
        <w:spacing w:after="0" w:line="75" w:lineRule="exact"/>
        <w:rPr>
          <w:sz w:val="20"/>
          <w:szCs w:val="20"/>
          <w:color w:val="auto"/>
        </w:rPr>
      </w:pPr>
    </w:p>
    <w:p>
      <w:pPr>
        <w:ind w:right="160" w:firstLine="524"/>
        <w:spacing w:after="0" w:line="266" w:lineRule="auto"/>
        <w:rPr>
          <w:sz w:val="20"/>
          <w:szCs w:val="20"/>
          <w:color w:val="auto"/>
        </w:rPr>
      </w:pPr>
      <w:r>
        <w:rPr>
          <w:rFonts w:ascii="Times New Roman" w:cs="Times New Roman" w:eastAsia="Times New Roman" w:hAnsi="Times New Roman"/>
          <w:sz w:val="18"/>
          <w:szCs w:val="18"/>
          <w:color w:val="auto"/>
        </w:rPr>
        <w:t>The issuance of the Earnout Rights was accounted for as an equity transaction. Since the Earnout Rights were issued to Closing ProKidney Unitholders (i.e., the accounting acquirer in the business combination), the accounting for the Earnout Rights arrangement does not fall under Accounting Standards Codification (“ASC”) Topic 805, Business Combinations nor Topic 718, Stock Compensation.</w:t>
      </w:r>
    </w:p>
    <w:p>
      <w:pPr>
        <w:spacing w:after="0" w:line="68" w:lineRule="exact"/>
        <w:rPr>
          <w:sz w:val="20"/>
          <w:szCs w:val="20"/>
          <w:color w:val="auto"/>
        </w:rPr>
      </w:pPr>
    </w:p>
    <w:p>
      <w:pPr>
        <w:ind w:right="240" w:firstLine="524"/>
        <w:spacing w:after="0" w:line="258" w:lineRule="auto"/>
        <w:rPr>
          <w:sz w:val="20"/>
          <w:szCs w:val="20"/>
          <w:color w:val="auto"/>
        </w:rPr>
      </w:pPr>
      <w:r>
        <w:rPr>
          <w:rFonts w:ascii="Times New Roman" w:cs="Times New Roman" w:eastAsia="Times New Roman" w:hAnsi="Times New Roman"/>
          <w:sz w:val="18"/>
          <w:szCs w:val="18"/>
          <w:color w:val="auto"/>
        </w:rPr>
        <w:t>The accounting for the Earnout Rights was also evaluated under ASC Topic 480, Distinguishing Liabilities from Equity, to determine if the arrangement should be classified as a liability. Based on that analysis, it was determined that the Earnout Rights did not meet the criteria to be accounted for as a liability. Additionally, the Earnout Rights were evaluated under ASC Topic 815, Derivatives. As part of that analysis, it was determined that the Earnout Rights met the definition of a derivative; however, they meet the scope exception criteria as they were clearly and closely related to the entity’s own stock, and met the criteria for equity treatment.</w:t>
      </w:r>
    </w:p>
    <w:p>
      <w:pPr>
        <w:spacing w:after="0" w:line="28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tab/>
        <w:t>Net Loss per Share</w:t>
      </w:r>
    </w:p>
    <w:p>
      <w:pPr>
        <w:spacing w:after="0" w:line="121" w:lineRule="exact"/>
        <w:rPr>
          <w:sz w:val="20"/>
          <w:szCs w:val="20"/>
          <w:color w:val="auto"/>
        </w:rPr>
      </w:pPr>
    </w:p>
    <w:p>
      <w:pPr>
        <w:ind w:right="80" w:firstLine="524"/>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Class A ordinary shareholders by the weighted-average shares of Class A ordinary shares outstanding without the consideration for potential dilutive securities. Diluted net loss per share represents basic net loss per share adjusted to include the effects of all potentially dilutive shares. Diluted net loss per share is the same as basic loss per share for all periods as the inclusion of potentially issuable shares would be antidilutive.</w:t>
      </w:r>
    </w:p>
    <w:p>
      <w:pPr>
        <w:spacing w:after="0" w:line="72" w:lineRule="exact"/>
        <w:rPr>
          <w:sz w:val="20"/>
          <w:szCs w:val="20"/>
          <w:color w:val="auto"/>
        </w:rPr>
      </w:pPr>
    </w:p>
    <w:p>
      <w:pPr>
        <w:ind w:firstLine="524"/>
        <w:spacing w:after="0" w:line="254" w:lineRule="auto"/>
        <w:rPr>
          <w:sz w:val="20"/>
          <w:szCs w:val="20"/>
          <w:color w:val="auto"/>
        </w:rPr>
      </w:pPr>
      <w:r>
        <w:rPr>
          <w:rFonts w:ascii="Times New Roman" w:cs="Times New Roman" w:eastAsia="Times New Roman" w:hAnsi="Times New Roman"/>
          <w:sz w:val="18"/>
          <w:szCs w:val="18"/>
          <w:color w:val="auto"/>
        </w:rPr>
        <w:t>The Company analyzed the calculation of net loss per share for periods prior to the Business Combination on July 11, 2022 and determined that it resulted in values that would not be meaningful to the users of the consolidated financial statements, as the capital structure completely changed as a result of the Business Combination. Therefore, net loss per share information has not been presented for periods prior to the Business Combination. The basic and diluted net loss per share attributable to Class A ordinary shareholders for the year ended December 31, 2022, as presented on the consolidated statements of operations, represents only the period after the Business Combination to December 31, 2022.</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8" w:name="page159"/>
    <w:bookmarkEnd w:id="158"/>
    <w:p>
      <w:pPr>
        <w:ind w:right="440"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for the years ended December 31, 2024 and 2023 and the period from July 11, 2022 through December 31, 2022 (in thousands, except share and per share amounts):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Period from July</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11, 2022 through</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310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(163,335 )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(135,447 )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(54,503 )</w:t>
            </w: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(102,149 )</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(99,979 )</w:t>
            </w: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(40,103 )</w:t>
            </w:r>
          </w:p>
        </w:tc>
        <w:tc>
          <w:tcPr>
            <w:tcW w:w="0" w:type="dxa"/>
            <w:vAlign w:val="bottom"/>
          </w:tcPr>
          <w:p>
            <w:pPr>
              <w:spacing w:after="0"/>
              <w:rPr>
                <w:sz w:val="1"/>
                <w:szCs w:val="1"/>
                <w:color w:val="auto"/>
              </w:rPr>
            </w:pPr>
          </w:p>
        </w:tc>
      </w:tr>
      <w:tr>
        <w:trPr>
          <w:trHeight w:val="20"/>
        </w:trPr>
        <w:tc>
          <w:tcPr>
            <w:tcW w:w="59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9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Net loss available to Class A ordinary shareholders of ProKidney Corp.,</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(61,186 )</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(35,468 )</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(14,400 )</w:t>
            </w:r>
          </w:p>
        </w:tc>
        <w:tc>
          <w:tcPr>
            <w:tcW w:w="0" w:type="dxa"/>
            <w:vAlign w:val="bottom"/>
          </w:tcPr>
          <w:p>
            <w:pPr>
              <w:spacing w:after="0"/>
              <w:rPr>
                <w:sz w:val="1"/>
                <w:szCs w:val="1"/>
                <w:color w:val="auto"/>
              </w:rPr>
            </w:pPr>
          </w:p>
        </w:tc>
      </w:tr>
      <w:tr>
        <w:trPr>
          <w:trHeight w:val="221"/>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Class A ordinary shares or ProKidney Corp. outstanding,</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97,916,193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61,714,225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61,540,231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Class A ordinary share</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per Class A ordinary share of ProKidney Corp., basic and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(0.57 )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(0.23 )</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-1276985</wp:posOffset>
            </wp:positionV>
            <wp:extent cx="596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-1276985</wp:posOffset>
            </wp:positionV>
            <wp:extent cx="6032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-1276985</wp:posOffset>
            </wp:positionV>
            <wp:extent cx="596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-170815</wp:posOffset>
            </wp:positionV>
            <wp:extent cx="596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03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-170815</wp:posOffset>
            </wp:positionV>
            <wp:extent cx="596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Outstanding anti-dilutive securities not included in the diluted net loss per share calculation include the following:</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Antidilutive securities</w:t>
            </w:r>
          </w:p>
        </w:tc>
        <w:tc>
          <w:tcPr>
            <w:tcW w:w="14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ProKidney Corp. Class B ordinary shares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163,693,707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168,297,916</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171,578,320</w:t>
            </w:r>
          </w:p>
        </w:tc>
        <w:tc>
          <w:tcPr>
            <w:tcW w:w="100" w:type="dxa"/>
            <w:vAlign w:val="bottom"/>
          </w:tcPr>
          <w:p>
            <w:pPr>
              <w:spacing w:after="0"/>
              <w:rPr>
                <w:sz w:val="18"/>
                <w:szCs w:val="18"/>
                <w:color w:val="auto"/>
              </w:rPr>
            </w:pPr>
          </w:p>
        </w:tc>
      </w:tr>
      <w:tr>
        <w:trPr>
          <w:trHeight w:val="216"/>
        </w:trPr>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Unvested Restricted Stock Rights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1,755,686</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3,565,753</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8,369,796</w:t>
            </w:r>
          </w:p>
        </w:tc>
        <w:tc>
          <w:tcPr>
            <w:tcW w:w="100" w:type="dxa"/>
            <w:vAlign w:val="bottom"/>
            <w:shd w:val="clear" w:color="auto" w:fill="CFF0FC"/>
          </w:tcPr>
          <w:p>
            <w:pPr>
              <w:spacing w:after="0"/>
              <w:rPr>
                <w:sz w:val="18"/>
                <w:szCs w:val="18"/>
                <w:color w:val="auto"/>
              </w:rPr>
            </w:pP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Earnout Rights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100" w:type="dxa"/>
            <w:vAlign w:val="bottom"/>
          </w:tcPr>
          <w:p>
            <w:pPr>
              <w:spacing w:after="0"/>
              <w:rPr>
                <w:sz w:val="18"/>
                <w:szCs w:val="18"/>
                <w:color w:val="auto"/>
              </w:rPr>
            </w:pPr>
          </w:p>
        </w:tc>
      </w:tr>
      <w:tr>
        <w:trPr>
          <w:trHeight w:val="216"/>
        </w:trPr>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Legacy SCS Restricted Share Units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FF0FC"/>
          </w:tcPr>
          <w:p>
            <w:pPr>
              <w:spacing w:after="0"/>
              <w:rPr>
                <w:sz w:val="18"/>
                <w:szCs w:val="18"/>
                <w:color w:val="auto"/>
              </w:rPr>
            </w:pPr>
          </w:p>
        </w:tc>
      </w:tr>
      <w:tr>
        <w:trPr>
          <w:trHeight w:val="234"/>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granted under the 2022 Equity Incentive Plan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21,449,920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14,680,109</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9,504,715</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 Based Compensation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Incentive Equity Plan</w:t>
      </w:r>
    </w:p>
    <w:p>
      <w:pPr>
        <w:spacing w:after="0" w:line="119" w:lineRule="exact"/>
        <w:rPr>
          <w:sz w:val="20"/>
          <w:szCs w:val="20"/>
          <w:color w:val="auto"/>
        </w:rPr>
      </w:pPr>
    </w:p>
    <w:p>
      <w:pPr>
        <w:ind w:firstLine="524"/>
        <w:spacing w:after="0" w:line="256" w:lineRule="auto"/>
        <w:rPr>
          <w:sz w:val="20"/>
          <w:szCs w:val="20"/>
          <w:color w:val="auto"/>
        </w:rPr>
      </w:pPr>
      <w:r>
        <w:rPr>
          <w:rFonts w:ascii="Times New Roman" w:cs="Times New Roman" w:eastAsia="Times New Roman" w:hAnsi="Times New Roman"/>
          <w:sz w:val="18"/>
          <w:szCs w:val="18"/>
          <w:color w:val="auto"/>
        </w:rPr>
        <w:t>On July 11, 2022, the shareholders of the Company approved the ProKidney Corp. 2022 Incentive Equity Plan (the “2022 Plan”) which provides for the issuance of equity based awards to the Company’s employees, non-employee directors, individual consultants, advisors and other service providers. The 2022 Plan provides for the issuance of equity awards in the form of incentive stock options, which are intended to satisfy the requirements of Section 422 of the Internal Revenue Code of 1986, as amended, or nonqualified stock options, which are not intended to meet those requirements, stock appreciation rights, restricted stock, restricted stock units, performance awards or other cash or stock-based awards as determined appropriate by the plan administrator. In settlement of its obligations under this plan, the Company will issue new Class A ordinary shares.</w:t>
      </w:r>
    </w:p>
    <w:p>
      <w:pPr>
        <w:spacing w:after="0" w:line="79" w:lineRule="exact"/>
        <w:rPr>
          <w:sz w:val="20"/>
          <w:szCs w:val="20"/>
          <w:color w:val="auto"/>
        </w:rPr>
      </w:pPr>
    </w:p>
    <w:p>
      <w:pPr>
        <w:ind w:firstLine="524"/>
        <w:spacing w:after="0" w:line="266" w:lineRule="auto"/>
        <w:rPr>
          <w:sz w:val="20"/>
          <w:szCs w:val="20"/>
          <w:color w:val="auto"/>
        </w:rPr>
      </w:pPr>
      <w:r>
        <w:rPr>
          <w:rFonts w:ascii="Times New Roman" w:cs="Times New Roman" w:eastAsia="Times New Roman" w:hAnsi="Times New Roman"/>
          <w:sz w:val="18"/>
          <w:szCs w:val="18"/>
          <w:color w:val="auto"/>
        </w:rPr>
        <w:t>The Company has issued incentive and non-qualified stock option awards under the 2022 Plan to certain employees and non-employee directors of the Company. Given that the Company has established a full valuation allowance against its deferred tax assets, the Company has recognized no tax benefit related to these awards.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Stock Option Awards</w:t>
      </w:r>
    </w:p>
    <w:p>
      <w:pPr>
        <w:spacing w:after="0" w:line="121" w:lineRule="exact"/>
        <w:rPr>
          <w:sz w:val="20"/>
          <w:szCs w:val="20"/>
          <w:color w:val="auto"/>
        </w:rPr>
      </w:pPr>
    </w:p>
    <w:p>
      <w:pPr>
        <w:ind w:right="220" w:firstLine="524"/>
        <w:spacing w:after="0" w:line="257" w:lineRule="auto"/>
        <w:rPr>
          <w:sz w:val="20"/>
          <w:szCs w:val="20"/>
          <w:color w:val="auto"/>
        </w:rPr>
      </w:pPr>
      <w:r>
        <w:rPr>
          <w:rFonts w:ascii="Times New Roman" w:cs="Times New Roman" w:eastAsia="Times New Roman" w:hAnsi="Times New Roman"/>
          <w:sz w:val="18"/>
          <w:szCs w:val="18"/>
          <w:color w:val="auto"/>
        </w:rPr>
        <w:t>The Company uses the Black-Scholes option pricing model to calculate the fair value of time and performance vested stock options granted. The time-vested awards generally vest ratably over a three or four-year period. The performance-vested awards vest in accordance with their performance conditions. The Company’s option awards expire after a term of ten years from the date of grant.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The fair value of stock options granted was estimated using the following assumptions during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4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460" w:type="dxa"/>
            <w:vAlign w:val="bottom"/>
          </w:tcPr>
          <w:p>
            <w:pPr>
              <w:spacing w:after="0"/>
              <w:rPr>
                <w:sz w:val="18"/>
                <w:szCs w:val="18"/>
                <w:color w:val="auto"/>
              </w:rPr>
            </w:pPr>
          </w:p>
        </w:tc>
      </w:tr>
      <w:tr>
        <w:trPr>
          <w:trHeight w:val="238"/>
        </w:trPr>
        <w:tc>
          <w:tcPr>
            <w:tcW w:w="4700" w:type="dxa"/>
            <w:vAlign w:val="bottom"/>
          </w:tcPr>
          <w:p>
            <w:pPr>
              <w:spacing w:after="0"/>
              <w:rPr>
                <w:sz w:val="20"/>
                <w:szCs w:val="20"/>
                <w:color w:val="auto"/>
              </w:rPr>
            </w:pPr>
          </w:p>
        </w:tc>
        <w:tc>
          <w:tcPr>
            <w:tcW w:w="282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2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- 85.5%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- 84.0%</w:t>
            </w: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- 4.3%</w:t>
            </w: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8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0.0%</w:t>
            </w:r>
          </w:p>
        </w:tc>
        <w:tc>
          <w:tcPr>
            <w:tcW w:w="3040" w:type="dxa"/>
            <w:vAlign w:val="bottom"/>
            <w:gridSpan w:val="3"/>
          </w:tcPr>
          <w:p>
            <w:pPr>
              <w:jc w:val="right"/>
              <w:ind w:right="1130"/>
              <w:spacing w:after="0"/>
              <w:rPr>
                <w:sz w:val="20"/>
                <w:szCs w:val="20"/>
                <w:color w:val="auto"/>
              </w:rPr>
            </w:pPr>
            <w:r>
              <w:rPr>
                <w:rFonts w:ascii="Times New Roman" w:cs="Times New Roman" w:eastAsia="Times New Roman" w:hAnsi="Times New Roman"/>
                <w:sz w:val="18"/>
                <w:szCs w:val="18"/>
                <w:color w:val="auto"/>
              </w:rPr>
              <w:t>0.0%</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 Vested Awards</w:t>
      </w:r>
    </w:p>
    <w:p>
      <w:pPr>
        <w:spacing w:after="0" w:line="121" w:lineRule="exact"/>
        <w:rPr>
          <w:sz w:val="20"/>
          <w:szCs w:val="20"/>
          <w:color w:val="auto"/>
        </w:rPr>
      </w:pPr>
    </w:p>
    <w:p>
      <w:pPr>
        <w:jc w:val="both"/>
        <w:ind w:right="320"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Company’s time-vested stock option awards granted under the 2022 Plan for the year ended December 31, 2024:</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722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0"/>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Time-vested options outstanding at January 1, 2024</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14,680,109</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8,871,107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(86,842 )</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(3,685,704 )</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8"/>
                <w:szCs w:val="18"/>
                <w:color w:val="auto"/>
              </w:rPr>
            </w:pPr>
          </w:p>
        </w:tc>
      </w:tr>
      <w:tr>
        <w:trPr>
          <w:trHeight w:val="250"/>
        </w:trPr>
        <w:tc>
          <w:tcPr>
            <w:tcW w:w="7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Time-vested options outstanding at December 31, 2024</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19,778,670</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2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Time-vested options exercisable at December 31, 2024</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5,506,641</w:t>
            </w:r>
          </w:p>
        </w:tc>
        <w:tc>
          <w:tcPr>
            <w:tcW w:w="260" w:type="dxa"/>
            <w:vAlign w:val="bottom"/>
          </w:tcPr>
          <w:p>
            <w:pPr>
              <w:spacing w:after="0"/>
              <w:rPr>
                <w:sz w:val="17"/>
                <w:szCs w:val="17"/>
                <w:color w:val="auto"/>
              </w:rPr>
            </w:pPr>
          </w:p>
        </w:tc>
        <w:tc>
          <w:tcPr>
            <w:tcW w:w="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7"/>
                <w:szCs w:val="17"/>
                <w:color w:val="auto"/>
              </w:rPr>
            </w:pPr>
          </w:p>
        </w:tc>
      </w:tr>
      <w:tr>
        <w:trPr>
          <w:trHeight w:val="216"/>
        </w:trPr>
        <w:tc>
          <w:tcPr>
            <w:tcW w:w="7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8.2 years</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Time-vested options vested and expected to vest at December 31,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19,778,670</w:t>
            </w:r>
          </w:p>
        </w:tc>
        <w:tc>
          <w:tcPr>
            <w:tcW w:w="2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8.5 years</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-573405</wp:posOffset>
            </wp:positionV>
            <wp:extent cx="603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-556895</wp:posOffset>
            </wp:positionV>
            <wp:extent cx="603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-573405</wp:posOffset>
            </wp:positionV>
            <wp:extent cx="596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-556895</wp:posOffset>
            </wp:positionV>
            <wp:extent cx="596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100" w:firstLine="524"/>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total unrecognized stock-based compensation expense of approximately $40,594,000 related to the time-vested grants under the 2022 Plan, which is expected to be recognized on a straight-line basis over a weighted average period of 2.5 years. The weighted average grant date fair value for the time-vested option grants during the years ended December 31, 2024, 2023 and 2022 were $1.36, $5.14 and $7.48, respectively.</w:t>
      </w:r>
    </w:p>
    <w:p>
      <w:pPr>
        <w:spacing w:after="0" w:line="72" w:lineRule="exact"/>
        <w:rPr>
          <w:sz w:val="20"/>
          <w:szCs w:val="20"/>
          <w:color w:val="auto"/>
        </w:rPr>
      </w:pPr>
    </w:p>
    <w:p>
      <w:pPr>
        <w:ind w:right="420" w:firstLine="524"/>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the in-the-money time-vested awards outstanding and exercisable as of December 31, 2024 was $913,000 and $125,000, respectively. The total intrinsic value of time-vested awards exercised during the year ended December 31, 2024 was $37,000.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Performance-Vested Awards</w:t>
      </w:r>
    </w:p>
    <w:p>
      <w:pPr>
        <w:spacing w:after="0" w:line="121" w:lineRule="exact"/>
        <w:rPr>
          <w:sz w:val="20"/>
          <w:szCs w:val="20"/>
          <w:color w:val="auto"/>
        </w:rPr>
      </w:pPr>
    </w:p>
    <w:p>
      <w:pPr>
        <w:jc w:val="both"/>
        <w:ind w:right="220" w:firstLine="524"/>
        <w:spacing w:after="0" w:line="257" w:lineRule="auto"/>
        <w:rPr>
          <w:sz w:val="20"/>
          <w:szCs w:val="20"/>
          <w:color w:val="auto"/>
        </w:rPr>
      </w:pPr>
      <w:r>
        <w:rPr>
          <w:rFonts w:ascii="Times New Roman" w:cs="Times New Roman" w:eastAsia="Times New Roman" w:hAnsi="Times New Roman"/>
          <w:sz w:val="18"/>
          <w:szCs w:val="18"/>
          <w:color w:val="auto"/>
        </w:rPr>
        <w:t>The Company has issued stock options to certain of its employees which vest based on the achievement of both operational performance metrics and service rendered over a specific time period. The following table summarizes the activity related to the Company’s performance-based stock option awards granted under the 2022 Plan for the year ended December 31, 2024:</w:t>
      </w:r>
    </w:p>
    <w:tbl>
      <w:tblPr>
        <w:tblLayout w:type="fixed"/>
        <w:tblInd w:w="340" w:type="dxa"/>
        <w:tblCellMar>
          <w:top w:w="0" w:type="dxa"/>
          <w:left w:w="0" w:type="dxa"/>
          <w:bottom w:w="0" w:type="dxa"/>
          <w:right w:w="0" w:type="dxa"/>
        </w:tblCellMar>
      </w:tblPr>
      <w:tr>
        <w:trPr>
          <w:trHeight w:val="195"/>
        </w:trPr>
        <w:tc>
          <w:tcPr>
            <w:tcW w:w="7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722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r>
      <w:tr>
        <w:trPr>
          <w:trHeight w:val="209"/>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Performance-based options outstanding at January 1, 2024</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671,250</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FF0FC"/>
            </w:tcBorders>
          </w:tcPr>
          <w:p>
            <w:pPr>
              <w:spacing w:after="0"/>
              <w:rPr>
                <w:sz w:val="18"/>
                <w:szCs w:val="18"/>
                <w:color w:val="auto"/>
              </w:rPr>
            </w:pPr>
          </w:p>
        </w:tc>
      </w:tr>
      <w:tr>
        <w:trPr>
          <w:trHeight w:val="250"/>
        </w:trPr>
        <w:tc>
          <w:tcPr>
            <w:tcW w:w="7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Performance-based options outstanding at December 31, 2024</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1,671,250</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2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Performance-based options exercisable at December 31, 2024</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250,000</w:t>
            </w:r>
          </w:p>
        </w:tc>
        <w:tc>
          <w:tcPr>
            <w:tcW w:w="40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7"/>
                <w:szCs w:val="17"/>
                <w:color w:val="auto"/>
              </w:rPr>
            </w:pPr>
          </w:p>
        </w:tc>
      </w:tr>
      <w:tr>
        <w:trPr>
          <w:trHeight w:val="216"/>
        </w:trPr>
        <w:tc>
          <w:tcPr>
            <w:tcW w:w="7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 years</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options vested and expected to vest at December 31,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1,671,250</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 years</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-573405</wp:posOffset>
            </wp:positionV>
            <wp:extent cx="603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-556895</wp:posOffset>
            </wp:positionV>
            <wp:extent cx="6032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-719455</wp:posOffset>
            </wp:positionV>
            <wp:extent cx="603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-573405</wp:posOffset>
            </wp:positionV>
            <wp:extent cx="596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-556895</wp:posOffset>
            </wp:positionV>
            <wp:extent cx="596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-719455</wp:posOffset>
            </wp:positionV>
            <wp:extent cx="596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firstLine="524"/>
        <w:spacing w:after="0" w:line="257" w:lineRule="auto"/>
        <w:rPr>
          <w:sz w:val="20"/>
          <w:szCs w:val="20"/>
          <w:color w:val="auto"/>
        </w:rPr>
      </w:pPr>
      <w:r>
        <w:rPr>
          <w:rFonts w:ascii="Times New Roman" w:cs="Times New Roman" w:eastAsia="Times New Roman" w:hAnsi="Times New Roman"/>
          <w:sz w:val="18"/>
          <w:szCs w:val="18"/>
          <w:color w:val="auto"/>
        </w:rPr>
        <w:t>As of December 31, 2024, the Company had total unrecognized stock-based compensation expense of approximately $156,000 related to the performance-based grants under the 2022 Plan, which is expected to be recognized on a straight-line basis over a weighted average period of 0.4 years. The weighted average grant date fair value for the performance-vested option grants during the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60" w:name="page161"/>
    <w:bookmarkEnd w:id="160"/>
    <w:p>
      <w:pPr>
        <w:ind w:right="240"/>
        <w:spacing w:after="0" w:line="282" w:lineRule="auto"/>
        <w:rPr>
          <w:sz w:val="20"/>
          <w:szCs w:val="20"/>
          <w:color w:val="auto"/>
        </w:rPr>
      </w:pPr>
      <w:r>
        <w:rPr>
          <w:rFonts w:ascii="Times New Roman" w:cs="Times New Roman" w:eastAsia="Times New Roman" w:hAnsi="Times New Roman"/>
          <w:sz w:val="18"/>
          <w:szCs w:val="18"/>
          <w:color w:val="auto"/>
        </w:rPr>
        <w:t>years ended December 31, 2024 and 2023 were $1.09 and $1.23, respectively. There were no performance-vested options granted during the year ended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Market-Vested Awards</w:t>
      </w:r>
    </w:p>
    <w:p>
      <w:pPr>
        <w:spacing w:after="0" w:line="121" w:lineRule="exact"/>
        <w:rPr>
          <w:sz w:val="20"/>
          <w:szCs w:val="20"/>
          <w:color w:val="auto"/>
        </w:rPr>
      </w:pPr>
    </w:p>
    <w:p>
      <w:pPr>
        <w:ind w:right="80" w:firstLine="5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the Company also granted to its prior Chief Executive Officer 3,639,607 options with an exercise price of $10.33. This grant contains both time and market based vesting conditions. The market conditions become satisfied in equal one-third tranches upon the Company's Class A ordinary shares exceeding a volume weighted average price hurdle of $15.00, $20.00 and $25.00, respectively, for 20 trading days within any 30 consecutive trading day period occurring prior to July 11, 2027. Once the market condition for a tranche is satisfied, such tranche will continue to be subject to time-vesting conditions and will vest ratably on each of the first, second and third anniversaries of the date that such tranche satisfied the performance vesting condition described above. Due to the market condition included in this grant, the Company used the Geometric Brownian Motion/Monte Carlo model to value these awards. The model used the following inputs: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300" w:type="dxa"/>
            <w:vAlign w:val="bottom"/>
            <w:shd w:val="clear" w:color="auto" w:fill="CFF0FC"/>
          </w:tcPr>
          <w:p>
            <w:pPr>
              <w:jc w:val="center"/>
              <w:ind w:left="1250"/>
              <w:spacing w:after="0"/>
              <w:rPr>
                <w:sz w:val="20"/>
                <w:szCs w:val="20"/>
                <w:color w:val="auto"/>
              </w:rPr>
            </w:pPr>
            <w:r>
              <w:rPr>
                <w:rFonts w:ascii="Times New Roman" w:cs="Times New Roman" w:eastAsia="Times New Roman" w:hAnsi="Times New Roman"/>
                <w:sz w:val="18"/>
                <w:szCs w:val="18"/>
                <w:color w:val="auto"/>
                <w:w w:val="96"/>
              </w:rPr>
              <w:t>96%</w:t>
            </w: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Suboptimal exercise multiple</w:t>
            </w:r>
          </w:p>
        </w:tc>
        <w:tc>
          <w:tcPr>
            <w:tcW w:w="530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300" w:type="dxa"/>
            <w:vAlign w:val="bottom"/>
            <w:shd w:val="clear" w:color="auto" w:fill="CFF0FC"/>
          </w:tcPr>
          <w:p>
            <w:pPr>
              <w:jc w:val="center"/>
              <w:ind w:left="1270"/>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30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ind w:right="20" w:firstLine="524"/>
        <w:spacing w:after="0" w:line="261" w:lineRule="auto"/>
        <w:rPr>
          <w:sz w:val="20"/>
          <w:szCs w:val="20"/>
          <w:color w:val="auto"/>
        </w:rPr>
      </w:pPr>
      <w:r>
        <w:rPr>
          <w:rFonts w:ascii="Times New Roman" w:cs="Times New Roman" w:eastAsia="Times New Roman" w:hAnsi="Times New Roman"/>
          <w:sz w:val="18"/>
          <w:szCs w:val="18"/>
          <w:color w:val="auto"/>
        </w:rPr>
        <w:t>Upon the termination of employment of the prior Chief Executive Officer in 2023, the compensation cost that had previously been recognized related to these awards was reversed. This resulted in the reversal of approximately $2,172,000 of total cost during the year ended December 31, 2023. The weighted average grant date fair value for the option grants during the year ended December 31, 2022 was $7.75. No such awards were granted during the years ended December 31, 2024 and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Profits Interests</w:t>
      </w:r>
    </w:p>
    <w:p>
      <w:pPr>
        <w:spacing w:after="0" w:line="121" w:lineRule="exact"/>
        <w:rPr>
          <w:sz w:val="20"/>
          <w:szCs w:val="20"/>
          <w:color w:val="auto"/>
        </w:rPr>
      </w:pPr>
    </w:p>
    <w:p>
      <w:pPr>
        <w:ind w:firstLine="524"/>
        <w:spacing w:after="0" w:line="261" w:lineRule="auto"/>
        <w:rPr>
          <w:sz w:val="20"/>
          <w:szCs w:val="20"/>
          <w:color w:val="auto"/>
        </w:rPr>
      </w:pPr>
      <w:r>
        <w:rPr>
          <w:rFonts w:ascii="Times New Roman" w:cs="Times New Roman" w:eastAsia="Times New Roman" w:hAnsi="Times New Roman"/>
          <w:sz w:val="18"/>
          <w:szCs w:val="18"/>
          <w:color w:val="auto"/>
        </w:rPr>
        <w:t>The Deed for the Establishment of a Limited Partnership of ProKidney LP, dated as of August 5, 2021 (the “Limited Partnership Agreement”) which replaced the Amended and Restated Limited Liability Company Agreement of ProKidney LLC as the governing document of the parent entity in the Company, allowed for the issuance of Profits Interests (as defined in the Limited Partnership Agreement) to employees, directors, other service providers of the Company and others denominated in the form of one or more Class B Units of PKLP (as defined in the Limited Partnership Agreement).</w:t>
      </w:r>
    </w:p>
    <w:p>
      <w:pPr>
        <w:spacing w:after="0" w:line="72" w:lineRule="exact"/>
        <w:rPr>
          <w:sz w:val="20"/>
          <w:szCs w:val="20"/>
          <w:color w:val="auto"/>
        </w:rPr>
      </w:pPr>
    </w:p>
    <w:p>
      <w:pPr>
        <w:ind w:right="60" w:firstLine="524"/>
        <w:spacing w:after="0" w:line="256" w:lineRule="auto"/>
        <w:rPr>
          <w:sz w:val="20"/>
          <w:szCs w:val="20"/>
          <w:color w:val="auto"/>
        </w:rPr>
      </w:pPr>
      <w:r>
        <w:rPr>
          <w:rFonts w:ascii="Times New Roman" w:cs="Times New Roman" w:eastAsia="Times New Roman" w:hAnsi="Times New Roman"/>
          <w:sz w:val="18"/>
          <w:szCs w:val="18"/>
          <w:color w:val="auto"/>
        </w:rPr>
        <w:t>Under the Limited Partnership Agreement, ProKidney GP Limited, the former general partner of PKLP (“Legacy GP”), determined the terms and conditions of the Profits Interests issued. The threshold value assigned to each grant was not to be less than the fair market value of PKLP on the date of grant. Profits Interests awards would vest at a rate of 25% on the latter of the first anniversary of employment and the first anniversary of the Acquisition Date with the remaining 75% to vest in increments of 25% on each anniversary following the first anniversary date, ratably over a three or four-year period from the date of grant, in annual installments of 33.3% over the three-year period from the date of grant, in increments of 6.25% each calendar quarter following the first anniversary date, or were fully vested upon issuance.</w:t>
      </w:r>
    </w:p>
    <w:p>
      <w:pPr>
        <w:spacing w:after="0" w:line="79" w:lineRule="exact"/>
        <w:rPr>
          <w:sz w:val="20"/>
          <w:szCs w:val="20"/>
          <w:color w:val="auto"/>
        </w:rPr>
      </w:pPr>
    </w:p>
    <w:p>
      <w:pPr>
        <w:ind w:right="180" w:firstLine="524"/>
        <w:spacing w:after="0" w:line="258" w:lineRule="auto"/>
        <w:rPr>
          <w:sz w:val="20"/>
          <w:szCs w:val="20"/>
          <w:color w:val="auto"/>
        </w:rPr>
      </w:pPr>
      <w:r>
        <w:rPr>
          <w:rFonts w:ascii="Times New Roman" w:cs="Times New Roman" w:eastAsia="Times New Roman" w:hAnsi="Times New Roman"/>
          <w:sz w:val="18"/>
          <w:szCs w:val="18"/>
          <w:color w:val="auto"/>
        </w:rPr>
        <w:t>On January 17, 2022, PKLP amended and restated its Limited Partnership Agreement (the “Amended and Restated Limited Partnership Agreement”) which provided that certain qualified distribution events would result in holders of Profits Interests receiving disproportionate distributions from PKLP until each such holder’s valuation threshold had been reduced to zero in order to “catch up” such holder’s distributions to its pro rata share of aggregate cumulative distributions, and once sufficient distributions to a holder of Profits Interests had been made in accordance with the foregoing, the associated Class B Units of PKLP would automatically be converted into Class A Units of PKLP.</w:t>
      </w:r>
    </w:p>
    <w:p>
      <w:pPr>
        <w:spacing w:after="0" w:line="29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Upon consummation of the Business Combination discussed in Note 1, PKLP’s existing Class B and B-1 Units were “caught up” and were converted into Class A Units of PKLP. The resulting vested and unvested Class A Units of PKLP were then recapitalized into Post-Combination ProKidney Common Units or Restricted Common Units of the Company, respectively. This recapitalization resulted in a decrease in the number of awards held by each participant. As such, the number of Profits Interests and related per unit values within these financial statements have been adjusted to reflect this recapitalization. Upon recapitalization, the Restricted Common Units maintained the vesting schedules associated with the original Profits Interest awards.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1" w:name="page162"/>
    <w:bookmarkEnd w:id="161"/>
    <w:p>
      <w:pPr>
        <w:ind w:left="5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Profits Interest awards for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7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8"/>
        </w:trPr>
        <w:tc>
          <w:tcPr>
            <w:tcW w:w="7680" w:type="dxa"/>
            <w:vAlign w:val="bottom"/>
          </w:tcPr>
          <w:p>
            <w:pPr>
              <w:spacing w:after="0"/>
              <w:rPr>
                <w:sz w:val="20"/>
                <w:szCs w:val="20"/>
                <w:color w:val="auto"/>
              </w:rPr>
            </w:pPr>
          </w:p>
        </w:tc>
        <w:tc>
          <w:tcPr>
            <w:tcW w:w="1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awards outstanding at January 1, 2024</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3,565,753</w:t>
            </w: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(1,336,572 )</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(473,495 )</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FF0FC"/>
          </w:tcPr>
          <w:p>
            <w:pPr>
              <w:spacing w:after="0"/>
              <w:rPr>
                <w:sz w:val="18"/>
                <w:szCs w:val="18"/>
                <w:color w:val="auto"/>
              </w:rPr>
            </w:pPr>
          </w:p>
        </w:tc>
      </w:tr>
      <w:tr>
        <w:trPr>
          <w:trHeight w:val="210"/>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awards outstanding at December 31, 2024</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1,755,686</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top w:val="single" w:sz="8" w:color="CFF0FC"/>
            </w:tcBorders>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firstLine="524"/>
        <w:spacing w:after="0" w:line="261" w:lineRule="auto"/>
        <w:rPr>
          <w:sz w:val="20"/>
          <w:szCs w:val="20"/>
          <w:color w:val="auto"/>
        </w:rPr>
      </w:pPr>
      <w:r>
        <w:rPr>
          <w:rFonts w:ascii="Times New Roman" w:cs="Times New Roman" w:eastAsia="Times New Roman" w:hAnsi="Times New Roman"/>
          <w:sz w:val="18"/>
          <w:szCs w:val="18"/>
          <w:color w:val="auto"/>
        </w:rPr>
        <w:t>As of December 31, 2024, the unrecognized compensation expense related to these awards was $6,223,000. The current weighted average remaining period over which the unrecognized compensation expense is expected to be recognized is 0.9 years. The weighted average grant date fair value of the Profits Interests granted during the year ended December 31, 2022, was $7.43 per Class B-1 unit, as adjusted for the effects of the recapitalization. There were no Profits Interests granted during the years ended December 31, 2024 or 2023.</w:t>
      </w:r>
    </w:p>
    <w:p>
      <w:pPr>
        <w:spacing w:after="0" w:line="72" w:lineRule="exact"/>
        <w:rPr>
          <w:sz w:val="20"/>
          <w:szCs w:val="20"/>
          <w:color w:val="auto"/>
        </w:rPr>
      </w:pPr>
    </w:p>
    <w:p>
      <w:pPr>
        <w:jc w:val="both"/>
        <w:ind w:right="20" w:firstLine="52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the unvested profits interests outstanding at December 31, 2024 was $2,967,000. The aggregate fair value of profits interests vested during the years ended December 31, 2024, 2023 and 2022 was $2,197,000 and $20,749,000, respectively. The aggregate intrinsic value of profits interests vested during the period from July 11, 2022 and December 31, 2022 was $6,984,000.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to Profits Interest Awards</w:t>
      </w:r>
    </w:p>
    <w:p>
      <w:pPr>
        <w:spacing w:after="0" w:line="121" w:lineRule="exact"/>
        <w:rPr>
          <w:sz w:val="20"/>
          <w:szCs w:val="20"/>
          <w:color w:val="auto"/>
        </w:rPr>
      </w:pPr>
    </w:p>
    <w:p>
      <w:pPr>
        <w:ind w:right="20" w:firstLine="524"/>
        <w:spacing w:after="0" w:line="261" w:lineRule="auto"/>
        <w:rPr>
          <w:sz w:val="20"/>
          <w:szCs w:val="20"/>
          <w:color w:val="auto"/>
        </w:rPr>
      </w:pPr>
      <w:r>
        <w:rPr>
          <w:rFonts w:ascii="Times New Roman" w:cs="Times New Roman" w:eastAsia="Times New Roman" w:hAnsi="Times New Roman"/>
          <w:sz w:val="18"/>
          <w:szCs w:val="18"/>
          <w:color w:val="auto"/>
        </w:rPr>
        <w:t>On January 17, 2022, the Limited Partnership Agreement was amended and restated to provide that certain qualified distribution events would result in the holders of Profits Interests receiving disproportionate distributions from PKLP until each such holder’s threshold value was reduced to zero in order to “catch up” such holder’s distributions to its pro rata share of aggregate cumulative distributions, and once sufficient distributions to a holder of Profits Interests had been made in accordance with the foregoing, the associated Class B Units would automatically be converted into Class A Units.</w:t>
      </w:r>
    </w:p>
    <w:p>
      <w:pPr>
        <w:spacing w:after="0" w:line="72" w:lineRule="exact"/>
        <w:rPr>
          <w:sz w:val="20"/>
          <w:szCs w:val="20"/>
          <w:color w:val="auto"/>
        </w:rPr>
      </w:pPr>
    </w:p>
    <w:p>
      <w:pPr>
        <w:ind w:right="60" w:firstLine="524"/>
        <w:spacing w:after="0" w:line="261" w:lineRule="auto"/>
        <w:rPr>
          <w:sz w:val="20"/>
          <w:szCs w:val="20"/>
          <w:color w:val="auto"/>
        </w:rPr>
      </w:pPr>
      <w:r>
        <w:rPr>
          <w:rFonts w:ascii="Times New Roman" w:cs="Times New Roman" w:eastAsia="Times New Roman" w:hAnsi="Times New Roman"/>
          <w:sz w:val="18"/>
          <w:szCs w:val="18"/>
          <w:color w:val="auto"/>
        </w:rPr>
        <w:t>This amendment constituted a modification to the Class B-1 Units in PKLP outstanding as of the date of the modification under the provisions of ASC Topic 718. In connection with the modification of its outstanding share-based compensation awards, the Company will recognize total additional compensation expense of $5,437,000 related to awards granted to its employees. The portion of this additional compensation expense attributable to vested awards of $3,715,000 was recognized immediately upon modification during the year ended December 31, 2022.</w:t>
      </w:r>
    </w:p>
    <w:p>
      <w:pPr>
        <w:spacing w:after="0" w:line="72" w:lineRule="exact"/>
        <w:rPr>
          <w:sz w:val="20"/>
          <w:szCs w:val="20"/>
          <w:color w:val="auto"/>
        </w:rPr>
      </w:pPr>
    </w:p>
    <w:p>
      <w:pPr>
        <w:ind w:right="160" w:firstLine="5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also modified the vesting terms of outstanding time-based stock options issued to certain personnel upon their separation. This amendment constituted a modification of the awards under the provisions of ASC Topic 718 and resulted in the recognition of an additional $3,011,000 of compensation expense during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Profits Interests to Service Provider</w:t>
      </w:r>
    </w:p>
    <w:p>
      <w:pPr>
        <w:spacing w:after="0" w:line="121" w:lineRule="exact"/>
        <w:rPr>
          <w:sz w:val="20"/>
          <w:szCs w:val="20"/>
          <w:color w:val="auto"/>
        </w:rPr>
      </w:pPr>
    </w:p>
    <w:p>
      <w:pPr>
        <w:ind w:right="60" w:firstLine="5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issued 2,253,033 fully vested Class B-1 Units in PKLP to a third-party service provider as payment for research and development services provided in prior periods. The Company had previously recognized expense of $2,502,000 for these services based on the liability related to the services incurred. As the fair value of shares issued to satisfy that obligation was higher than the amount previously expensed, the Company recognized additional research and development expense of $14,080,000 during the year ended December 31, 2022</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Class B-1 Units in PKLP</w:t>
      </w:r>
    </w:p>
    <w:p>
      <w:pPr>
        <w:spacing w:after="0" w:line="121" w:lineRule="exact"/>
        <w:rPr>
          <w:sz w:val="20"/>
          <w:szCs w:val="20"/>
          <w:color w:val="auto"/>
        </w:rPr>
      </w:pPr>
    </w:p>
    <w:p>
      <w:pPr>
        <w:ind w:right="180" w:firstLine="524"/>
        <w:spacing w:after="0" w:line="258" w:lineRule="auto"/>
        <w:rPr>
          <w:sz w:val="20"/>
          <w:szCs w:val="20"/>
          <w:color w:val="auto"/>
        </w:rPr>
      </w:pPr>
      <w:r>
        <w:rPr>
          <w:rFonts w:ascii="Times New Roman" w:cs="Times New Roman" w:eastAsia="Times New Roman" w:hAnsi="Times New Roman"/>
          <w:sz w:val="18"/>
          <w:szCs w:val="18"/>
          <w:color w:val="auto"/>
        </w:rPr>
        <w:t>Certain of the Company’s employees, board members and service providers purchased 6,648,353 of Class B-1 Units in PKLP for total cash proceeds of $6,050,000, respectively, during the year ended December 31, 2022. Since these Class B-1 Units in PKLP were fully vested upon purchase and contained no service requirements, the Company immediately recognized the difference between the purchase price and the estimated fair value for these Class B-1 Units in PKLP of $34,254,000 as equity-based compensation expense during the year ended December 31, 2022. No such sales occurred during the years ended December 31, 2024 or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Estimate for Profits Interest</w:t>
      </w:r>
    </w:p>
    <w:p>
      <w:pPr>
        <w:spacing w:after="0" w:line="121" w:lineRule="exact"/>
        <w:rPr>
          <w:sz w:val="20"/>
          <w:szCs w:val="20"/>
          <w:color w:val="auto"/>
        </w:rPr>
      </w:pPr>
    </w:p>
    <w:p>
      <w:pPr>
        <w:ind w:right="600" w:firstLine="524"/>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PKLP was privately held with no active public market for its equity instruments. Therefore, for financial reporting purposes, management determined the estimated per share fair value of PKLP’s equity shares (including Profits</w:t>
      </w: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2" w:name="page163"/>
    <w:bookmarkEnd w:id="162"/>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Interests) using contemporaneous valuations. These contemporaneous valuations were done using methodologies consistent with the American Institute of Certified Public Accountants Practice Aid, </w:t>
      </w:r>
      <w:r>
        <w:rPr>
          <w:rFonts w:ascii="Times New Roman" w:cs="Times New Roman" w:eastAsia="Times New Roman" w:hAnsi="Times New Roman"/>
          <w:sz w:val="18"/>
          <w:szCs w:val="18"/>
          <w:i w:val="1"/>
          <w:iCs w:val="1"/>
          <w:color w:val="auto"/>
        </w:rPr>
        <w:t>Valuation of Privately-Held Company Equity Securities Issued as Compensation</w:t>
      </w:r>
      <w:r>
        <w:rPr>
          <w:rFonts w:ascii="Times New Roman" w:cs="Times New Roman" w:eastAsia="Times New Roman" w:hAnsi="Times New Roman"/>
          <w:sz w:val="18"/>
          <w:szCs w:val="18"/>
          <w:color w:val="auto"/>
        </w:rPr>
        <w:t>, also known as the Practice Aid.</w:t>
      </w:r>
    </w:p>
    <w:p>
      <w:pPr>
        <w:spacing w:after="0" w:line="68" w:lineRule="exact"/>
        <w:rPr>
          <w:sz w:val="20"/>
          <w:szCs w:val="20"/>
          <w:color w:val="auto"/>
        </w:rPr>
      </w:pPr>
    </w:p>
    <w:p>
      <w:pPr>
        <w:ind w:right="80" w:firstLine="524"/>
        <w:spacing w:after="0" w:line="261" w:lineRule="auto"/>
        <w:rPr>
          <w:sz w:val="20"/>
          <w:szCs w:val="20"/>
          <w:color w:val="auto"/>
        </w:rPr>
      </w:pPr>
      <w:r>
        <w:rPr>
          <w:rFonts w:ascii="Times New Roman" w:cs="Times New Roman" w:eastAsia="Times New Roman" w:hAnsi="Times New Roman"/>
          <w:sz w:val="18"/>
          <w:szCs w:val="18"/>
          <w:color w:val="auto"/>
        </w:rPr>
        <w:t>For the Profits Interest Awards granted during the year ended December 31, 2022, the valuation approach utilized a hybrid method which consists of a combination of an Option Pricing Method (“OPM”) and a Probability Weighted Expected Return Method (“PWERM”) approach. Weighting allocations were assigned to the OPM and PWERM methods based upon the expected likelihood of possible future liquidity events, including the Business Combination.</w:t>
      </w:r>
    </w:p>
    <w:p>
      <w:pPr>
        <w:spacing w:after="0" w:line="72" w:lineRule="exact"/>
        <w:rPr>
          <w:sz w:val="20"/>
          <w:szCs w:val="20"/>
          <w:color w:val="auto"/>
        </w:rPr>
      </w:pPr>
    </w:p>
    <w:p>
      <w:pPr>
        <w:ind w:right="40" w:firstLine="524"/>
        <w:spacing w:after="0" w:line="255" w:lineRule="auto"/>
        <w:rPr>
          <w:sz w:val="20"/>
          <w:szCs w:val="20"/>
          <w:color w:val="auto"/>
        </w:rPr>
      </w:pPr>
      <w:r>
        <w:rPr>
          <w:rFonts w:ascii="Times New Roman" w:cs="Times New Roman" w:eastAsia="Times New Roman" w:hAnsi="Times New Roman"/>
          <w:sz w:val="18"/>
          <w:szCs w:val="18"/>
          <w:color w:val="auto"/>
        </w:rPr>
        <w:t>Under the OPM approach, the fair value of the total equity of PKLP within each scenario was first estimated using a back-solve method wherein the equity value is derived from a recent transaction in PKLP’s own securities, and then the total equity value is allocated to the various components of the capital structure, including the Profits Interests, using an OPM or a waterfall approach based on the specific rights of each of the equity classes. The OPM used the fair value of the total equity of PKLP within a scenario as a starting point and incorporates assumptions made regarding the expected returns and volatilities that are consistent with the expectations of market participants, and distribution of equity values is produced which cover the range of events that an informed market participant might expect. This process creates a range of equity values both between and within scenarios. The fair value measurement is sensitive to changes in the unobservable inputs. Changes in those inputs might result in a higher or lower fair value measurement.</w:t>
      </w:r>
    </w:p>
    <w:p>
      <w:pPr>
        <w:spacing w:after="0" w:line="81" w:lineRule="exact"/>
        <w:rPr>
          <w:sz w:val="20"/>
          <w:szCs w:val="20"/>
          <w:color w:val="auto"/>
        </w:rPr>
      </w:pPr>
    </w:p>
    <w:p>
      <w:pPr>
        <w:ind w:right="160" w:firstLine="524"/>
        <w:spacing w:after="0" w:line="289" w:lineRule="auto"/>
        <w:rPr>
          <w:sz w:val="20"/>
          <w:szCs w:val="20"/>
          <w:color w:val="auto"/>
        </w:rPr>
      </w:pPr>
      <w:r>
        <w:rPr>
          <w:rFonts w:ascii="Times New Roman" w:cs="Times New Roman" w:eastAsia="Times New Roman" w:hAnsi="Times New Roman"/>
          <w:sz w:val="17"/>
          <w:szCs w:val="17"/>
          <w:color w:val="auto"/>
        </w:rPr>
        <w:t>The PWERM approach is a scenario-based analysis that estimates the value per share of ordinary shares based on the probability-weighted present value of expected future equity values for the ordinary shares, under various possible future liquidity event scenarios, including the proposed Business Combination, in light of the rights and preferences of each class and series of stock, including the Profits Interests, discounted for a lack of marketability.</w:t>
      </w:r>
    </w:p>
    <w:p>
      <w:pPr>
        <w:spacing w:after="0" w:line="50" w:lineRule="exact"/>
        <w:rPr>
          <w:sz w:val="20"/>
          <w:szCs w:val="20"/>
          <w:color w:val="auto"/>
        </w:rPr>
      </w:pPr>
    </w:p>
    <w:p>
      <w:pPr>
        <w:ind w:firstLine="524"/>
        <w:spacing w:after="0" w:line="256" w:lineRule="auto"/>
        <w:rPr>
          <w:sz w:val="20"/>
          <w:szCs w:val="20"/>
          <w:color w:val="auto"/>
        </w:rPr>
      </w:pPr>
      <w:r>
        <w:rPr>
          <w:rFonts w:ascii="Times New Roman" w:cs="Times New Roman" w:eastAsia="Times New Roman" w:hAnsi="Times New Roman"/>
          <w:sz w:val="18"/>
          <w:szCs w:val="18"/>
          <w:color w:val="auto"/>
        </w:rPr>
        <w:t>In performing these valuations, management considered all objective and subjective factors that they believed to be relevant, including management’s best estimate of PKLP’s business condition, prospects, and operating performance at each valuation date. Within the valuations performed, a range of factors, assumptions, and methodologies were used. The significant factors included trends within the industry, the prices at which PKLP sold its Class A Units, the rights and preferences of the Class A Units relative to the Class B Units at the time of each measurement date, the results of operations, financial position, status of research and development efforts, stage of development and business strategy, the lack of an active public market for the units, and the likelihood of achieving an exit event in light of prevailing market conditions.</w:t>
      </w:r>
    </w:p>
    <w:p>
      <w:pPr>
        <w:spacing w:after="0" w:line="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reflects the key assumptions used in each of the valuation scenarios: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19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OPM</w:t>
            </w:r>
          </w:p>
        </w:tc>
        <w:tc>
          <w:tcPr>
            <w:tcW w:w="100" w:type="dxa"/>
            <w:vAlign w:val="bottom"/>
          </w:tcPr>
          <w:p>
            <w:pPr>
              <w:spacing w:after="0"/>
              <w:rPr>
                <w:sz w:val="20"/>
                <w:szCs w:val="20"/>
                <w:color w:val="auto"/>
              </w:rPr>
            </w:pPr>
          </w:p>
        </w:tc>
        <w:tc>
          <w:tcPr>
            <w:tcW w:w="15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PWERM</w:t>
            </w:r>
          </w:p>
        </w:tc>
      </w:tr>
      <w:tr>
        <w:trPr>
          <w:trHeight w:val="210"/>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equity value (in thousands)</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$234,551 - $280,400</w:t>
            </w:r>
          </w:p>
        </w:tc>
        <w:tc>
          <w:tcPr>
            <w:tcW w:w="3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of total equity</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- 90%</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for lack of market</w:t>
            </w:r>
          </w:p>
        </w:tc>
        <w:tc>
          <w:tcPr>
            <w:tcW w:w="1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w:t>
            </w:r>
          </w:p>
        </w:tc>
        <w:tc>
          <w:tcPr>
            <w:tcW w:w="100" w:type="dxa"/>
            <w:vAlign w:val="bottom"/>
            <w:shd w:val="clear" w:color="auto" w:fill="CFF0FC"/>
          </w:tcPr>
          <w:p>
            <w:pPr>
              <w:spacing w:after="0"/>
              <w:rPr>
                <w:sz w:val="18"/>
                <w:szCs w:val="18"/>
                <w:color w:val="auto"/>
              </w:rPr>
            </w:pP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time to exit event</w:t>
            </w:r>
          </w:p>
        </w:tc>
        <w:tc>
          <w:tcPr>
            <w:tcW w:w="1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 years - 3.7 years</w:t>
            </w: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0.1 years - 0.5 years</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SCS Awards</w:t>
      </w:r>
    </w:p>
    <w:p>
      <w:pPr>
        <w:spacing w:after="0" w:line="119" w:lineRule="exact"/>
        <w:rPr>
          <w:sz w:val="20"/>
          <w:szCs w:val="20"/>
          <w:color w:val="auto"/>
        </w:rPr>
      </w:pPr>
    </w:p>
    <w:p>
      <w:pPr>
        <w:ind w:right="160" w:firstLine="524"/>
        <w:spacing w:after="0" w:line="261" w:lineRule="auto"/>
        <w:rPr>
          <w:sz w:val="20"/>
          <w:szCs w:val="20"/>
          <w:color w:val="auto"/>
        </w:rPr>
      </w:pPr>
      <w:r>
        <w:rPr>
          <w:rFonts w:ascii="Times New Roman" w:cs="Times New Roman" w:eastAsia="Times New Roman" w:hAnsi="Times New Roman"/>
          <w:sz w:val="18"/>
          <w:szCs w:val="18"/>
          <w:color w:val="auto"/>
        </w:rPr>
        <w:t>In 2021, SCS had agreed to grant 50,000 restricted stock units (“RSUs”) to certain of its board members and other advisors which were contingent upon the consummation of a Business Combination and a shareholder approved equity plan. The RSUs were to vest upon the consummation of such Business Combination and represent 50,000 Class A ordinary shares of the Company that will settle on a date determined in the sole discretion of the Company that shall occur between the vesting date and March 15th of the year following the year in which vesting occurs.</w:t>
      </w:r>
    </w:p>
    <w:p>
      <w:pPr>
        <w:spacing w:after="0" w:line="72" w:lineRule="exact"/>
        <w:rPr>
          <w:sz w:val="20"/>
          <w:szCs w:val="20"/>
          <w:color w:val="auto"/>
        </w:rPr>
      </w:pPr>
    </w:p>
    <w:p>
      <w:pPr>
        <w:ind w:right="40" w:firstLine="524"/>
        <w:spacing w:after="0" w:line="253" w:lineRule="auto"/>
        <w:rPr>
          <w:sz w:val="20"/>
          <w:szCs w:val="20"/>
          <w:color w:val="auto"/>
        </w:rPr>
      </w:pPr>
      <w:r>
        <w:rPr>
          <w:rFonts w:ascii="Times New Roman" w:cs="Times New Roman" w:eastAsia="Times New Roman" w:hAnsi="Times New Roman"/>
          <w:sz w:val="18"/>
          <w:szCs w:val="18"/>
          <w:color w:val="auto"/>
        </w:rPr>
        <w:t>The RSUs granted by the Company are in the scope of ASC 718. Under ASC 718, stock-based compensation associated with equity-classified awards is measured at fair value upon the grant date. The RSUs granted were subject to a performance condition (i.e., the occurrence of a Business Combination). Compensation expense related to the RSUs is recognized only when the performance condition is probable of occurrence under the applicable accounting literature in this circumstance. Upon Closing, the performance conditions for these awards were met as both a Business Combination had occurred and the shareholders approved a qualifying equity plan. As such, the entire amount of share-based compensation expense related to these awards of $396,000 was recognized during the year ended December 31, 2022. The weighted average grant date fair value per share of these RSUs was $7.92.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i w:val="1"/>
          <w:iCs w:val="1"/>
          <w:color w:val="auto"/>
        </w:rPr>
        <w:t>Compensation Expense</w:t>
      </w:r>
    </w:p>
    <w:p>
      <w:pPr>
        <w:spacing w:after="0" w:line="119" w:lineRule="exact"/>
        <w:rPr>
          <w:sz w:val="20"/>
          <w:szCs w:val="20"/>
          <w:color w:val="auto"/>
        </w:rPr>
      </w:pPr>
    </w:p>
    <w:p>
      <w:pPr>
        <w:ind w:right="40" w:firstLine="524"/>
        <w:spacing w:after="0" w:line="282" w:lineRule="auto"/>
        <w:rPr>
          <w:sz w:val="20"/>
          <w:szCs w:val="20"/>
          <w:color w:val="auto"/>
        </w:rPr>
      </w:pPr>
      <w:r>
        <w:rPr>
          <w:rFonts w:ascii="Times New Roman" w:cs="Times New Roman" w:eastAsia="Times New Roman" w:hAnsi="Times New Roman"/>
          <w:sz w:val="18"/>
          <w:szCs w:val="18"/>
          <w:color w:val="auto"/>
        </w:rPr>
        <w:t>Compensation expense related to share-based awards is included in research and development and general and administrative expense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5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12,504</w:t>
            </w:r>
          </w:p>
        </w:tc>
        <w:tc>
          <w:tcPr>
            <w:tcW w:w="7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15,864</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23,711</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16,868</w:t>
            </w:r>
          </w:p>
        </w:tc>
        <w:tc>
          <w:tcPr>
            <w:tcW w:w="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50,758</w:t>
            </w:r>
          </w:p>
        </w:tc>
        <w:tc>
          <w:tcPr>
            <w:tcW w:w="100" w:type="dxa"/>
            <w:vAlign w:val="bottom"/>
          </w:tcPr>
          <w:p>
            <w:pPr>
              <w:spacing w:after="0"/>
              <w:rPr>
                <w:sz w:val="18"/>
                <w:szCs w:val="18"/>
                <w:color w:val="auto"/>
              </w:rPr>
            </w:pPr>
          </w:p>
        </w:tc>
      </w:tr>
      <w:tr>
        <w:trPr>
          <w:trHeight w:val="250"/>
        </w:trPr>
        <w:tc>
          <w:tcPr>
            <w:tcW w:w="5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29,372</w:t>
            </w:r>
          </w:p>
        </w:tc>
        <w:tc>
          <w:tcPr>
            <w:tcW w:w="3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30,846</w:t>
            </w:r>
          </w:p>
        </w:tc>
        <w:tc>
          <w:tcPr>
            <w:tcW w:w="3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74,469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-24765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Time-vested stock options</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20,785</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23,560</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stock options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Market-vested stock options</w:t>
            </w: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(2,172 )</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restricted stock units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8"/>
                <w:szCs w:val="18"/>
                <w:color w:val="auto"/>
              </w:rPr>
            </w:pPr>
          </w:p>
        </w:tc>
      </w:tr>
      <w:tr>
        <w:trPr>
          <w:trHeight w:val="216"/>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Legacy profits interests</w:t>
            </w: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9,458</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29,372</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30,846</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74,469</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-170815</wp:posOffset>
            </wp:positionV>
            <wp:extent cx="603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596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-170815</wp:posOffset>
            </wp:positionV>
            <wp:extent cx="596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Segment Information</w:t>
      </w:r>
    </w:p>
    <w:p>
      <w:pPr>
        <w:spacing w:after="0" w:line="121" w:lineRule="exact"/>
        <w:rPr>
          <w:sz w:val="20"/>
          <w:szCs w:val="20"/>
          <w:color w:val="auto"/>
        </w:rPr>
      </w:pPr>
    </w:p>
    <w:p>
      <w:pPr>
        <w:ind w:right="160" w:firstLine="524"/>
        <w:spacing w:after="0" w:line="261" w:lineRule="auto"/>
        <w:rPr>
          <w:sz w:val="20"/>
          <w:szCs w:val="20"/>
          <w:color w:val="auto"/>
        </w:rPr>
      </w:pPr>
      <w:r>
        <w:rPr>
          <w:rFonts w:ascii="Times New Roman" w:cs="Times New Roman" w:eastAsia="Times New Roman" w:hAnsi="Times New Roman"/>
          <w:sz w:val="18"/>
          <w:szCs w:val="18"/>
          <w:color w:val="auto"/>
        </w:rPr>
        <w:t>We regularly review our operating segments and the approach used by management to evaluate performance and allocate resources. In 2024, we managed our business as a single operating segment. The Company’s Chief Executive Officer is considered to be the Company’s chief operating decision maker under the requirements of Topic 280 of the ASC “Segments”. The primary measure of profit/loss reviewed by the chief operating decision maker (“CODM”) is net loss before noncontrolling interest.</w:t>
      </w:r>
    </w:p>
    <w:p>
      <w:pPr>
        <w:spacing w:after="0" w:line="72" w:lineRule="exact"/>
        <w:rPr>
          <w:sz w:val="20"/>
          <w:szCs w:val="20"/>
          <w:color w:val="auto"/>
        </w:rPr>
      </w:pPr>
    </w:p>
    <w:p>
      <w:pPr>
        <w:ind w:right="300" w:firstLine="524"/>
        <w:spacing w:after="0" w:line="266" w:lineRule="auto"/>
        <w:rPr>
          <w:sz w:val="20"/>
          <w:szCs w:val="20"/>
          <w:color w:val="auto"/>
        </w:rPr>
      </w:pPr>
      <w:r>
        <w:rPr>
          <w:rFonts w:ascii="Times New Roman" w:cs="Times New Roman" w:eastAsia="Times New Roman" w:hAnsi="Times New Roman"/>
          <w:sz w:val="18"/>
          <w:szCs w:val="18"/>
          <w:color w:val="auto"/>
        </w:rPr>
        <w:t>The Company does not have any product candidates approved for sale and has not generated any revenue from product sales. During 2024, the Company began recognizing lease revenue related to existing lease agreements held with certain third parties which leased space in the buildings which also house the Company’s manufacturing operations.</w:t>
      </w:r>
    </w:p>
    <w:p>
      <w:pPr>
        <w:spacing w:after="0" w:line="68" w:lineRule="exact"/>
        <w:rPr>
          <w:sz w:val="20"/>
          <w:szCs w:val="20"/>
          <w:color w:val="auto"/>
        </w:rPr>
      </w:pPr>
    </w:p>
    <w:p>
      <w:pPr>
        <w:ind w:right="40" w:firstLine="524"/>
        <w:spacing w:after="0" w:line="266" w:lineRule="auto"/>
        <w:rPr>
          <w:sz w:val="20"/>
          <w:szCs w:val="20"/>
          <w:color w:val="auto"/>
        </w:rPr>
      </w:pPr>
      <w:r>
        <w:rPr>
          <w:rFonts w:ascii="Times New Roman" w:cs="Times New Roman" w:eastAsia="Times New Roman" w:hAnsi="Times New Roman"/>
          <w:sz w:val="18"/>
          <w:szCs w:val="18"/>
          <w:color w:val="auto"/>
        </w:rPr>
        <w:t>We manage our assets on a total company basis, not by operating segment. Therefore, our chief operating decision maker does not regularly review any asset information other than total Company assets. See the Company’s Consolidated Balance Sheets for total assets. The majority of the Company’s long-lived assets are located in the United States.</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provides selected income statement information for our single reportable segment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2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(163,335 )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(135,447 )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(148,135 )</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(598 )</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8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F-33</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763"/>
        </w:trPr>
        <w:tc>
          <w:tcPr>
            <w:tcW w:w="34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64" w:name="page165"/>
    <w:bookmarkEnd w:id="164"/>
    <w:p>
      <w:pPr>
        <w:ind w:left="200"/>
        <w:spacing w:after="0"/>
        <w:rPr>
          <w:sz w:val="20"/>
          <w:szCs w:val="20"/>
          <w:color w:val="auto"/>
        </w:rPr>
      </w:pPr>
      <w:r>
        <w:rPr>
          <w:rFonts w:ascii="Times New Roman" w:cs="Times New Roman" w:eastAsia="Times New Roman" w:hAnsi="Times New Roman"/>
          <w:sz w:val="18"/>
          <w:szCs w:val="18"/>
          <w:color w:val="auto"/>
        </w:rPr>
        <w:t>The following table provides significant expense categories that are regularly reported to the chief operating decision maker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5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expense</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50,235</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42,513</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24,963</w:t>
            </w:r>
          </w:p>
        </w:tc>
        <w:tc>
          <w:tcPr>
            <w:tcW w:w="100" w:type="dxa"/>
            <w:vAlign w:val="bottom"/>
          </w:tcPr>
          <w:p>
            <w:pPr>
              <w:spacing w:after="0"/>
              <w:rPr>
                <w:sz w:val="24"/>
                <w:szCs w:val="24"/>
                <w:color w:val="auto"/>
              </w:rPr>
            </w:pPr>
          </w:p>
        </w:tc>
      </w:tr>
      <w:tr>
        <w:trPr>
          <w:trHeight w:val="21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compensation</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16,409</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operating expenses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49,360</w:t>
            </w:r>
          </w:p>
        </w:tc>
        <w:tc>
          <w:tcPr>
            <w:tcW w:w="100" w:type="dxa"/>
            <w:vAlign w:val="bottom"/>
          </w:tcPr>
          <w:p>
            <w:pPr>
              <w:spacing w:after="0"/>
              <w:rPr>
                <w:sz w:val="18"/>
                <w:szCs w:val="18"/>
                <w:color w:val="auto"/>
              </w:rPr>
            </w:pPr>
          </w:p>
        </w:tc>
      </w:tr>
      <w:tr>
        <w:trPr>
          <w:trHeight w:val="216"/>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segment items (1)</w:t>
            </w: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19,692</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(163,335 )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(135,447 )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(148,135 )</w:t>
            </w:r>
          </w:p>
        </w:tc>
      </w:tr>
      <w:tr>
        <w:trPr>
          <w:trHeight w:val="20"/>
        </w:trPr>
        <w:tc>
          <w:tcPr>
            <w:tcW w:w="6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4726940</wp:posOffset>
            </wp:positionH>
            <wp:positionV relativeFrom="paragraph">
              <wp:posOffset>-170815</wp:posOffset>
            </wp:positionV>
            <wp:extent cx="603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5687060</wp:posOffset>
            </wp:positionH>
            <wp:positionV relativeFrom="paragraph">
              <wp:posOffset>-170815</wp:posOffset>
            </wp:positionV>
            <wp:extent cx="596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-170815</wp:posOffset>
            </wp:positionV>
            <wp:extent cx="596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6" w:lineRule="exact"/>
        <w:rPr>
          <w:sz w:val="20"/>
          <w:szCs w:val="20"/>
          <w:color w:val="auto"/>
        </w:rPr>
      </w:pPr>
    </w:p>
    <w:p>
      <w:pPr>
        <w:jc w:val="center"/>
        <w:ind w:left="5120" w:right="1060" w:hanging="4943"/>
        <w:spacing w:after="0" w:line="908" w:lineRule="auto"/>
        <w:tabs>
          <w:tab w:leader="none" w:pos="69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primarily include interest income, equity-based compensation, depreciation, and impairment charges. 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101600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985" w:right="67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DESCRIPTION OF REGISTERED SECURITIES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ProKidney Corp. (the “Company,” “we,” “our,” or “us”) has one class of securities registered under Section 12 of the Securities Exchange Act of 1934, as amended: our Class A ordinary shares, par value $0.0001 per share (the “Class A Shares”). In addition, this Description of Registered Securities also contains a description of the Company’s Class B ordinary shares, par value $0.0001 per share (the “Class B Shares” and together with the Class A Shares, the “Ordinary Shares”), which are not registered pursuant to Section 12 of the Exchange Act but are exchangeable for Class A Shares. The description of the Class B Shares is necessary to understand the material terms of the Class A Shares. The following description of the material terms of our share capital includes a summary of certain provisions of our second amended and restated memorandum and articles of association (the “Articles”) and the Companies Act (As Revised) of the Cayman Islands as the same may be amended from time to time (the “Companies Act”). This description is qualified by reference to our Articles which are incorporated by reference as an exhibit to this annual report on Form 10-K (the “Report”). We encourage you to read our Articles and applicable provisions of the Companies Act carefully. Terms used herein but not defined have the meanings set forth in the Report.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Cayman Islands exempted company with limited liability and our affairs are governed by the Articles, the Companies Act and the common law of the Cayman Islands. Pursuant to the Articles, we are authorized to issue 500,000,000 Class A Shares, 500,000,000 Class B Shares and 5,000,000 preference shares, par value of $0.0001 per share.</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Defined terms used herein but not otherwise defined shall have the meaning ascribed to such terms in the Company’s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Ordinary Shares are entitled to one vote for each share held of record on all matters to be voted on by members. The Class A Shares and Class B Shares vote together as a single class on all matters (except where the rights of only one class of shares is proposed to be varied, then that class will vote on its 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cumulative voting with respect to the election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(the “Board”) is authorized to issue preference shares from time to time in one or more series without member approval, provided that the aggregate number of shares issued shall not exceed the total number of preference shares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preference shares from time to time adopted by the Board pursuant to authority so to do which is expressly vested in the Board. The powers, including voting powers, if any, preferences and relative, participating, optional and other special rights of each series of preference shares, and the qualifications, limitations or restrictions thereof, if any, may differ from those of any and all other series at any time outstanding. The effect of issuing preference shares could include, among other things, one or more of the following:</w:t>
      </w:r>
    </w:p>
    <w:p>
      <w:pPr>
        <w:spacing w:after="0" w:line="192" w:lineRule="exact"/>
        <w:rPr>
          <w:sz w:val="20"/>
          <w:szCs w:val="20"/>
          <w:color w:val="auto"/>
        </w:rPr>
      </w:pPr>
    </w:p>
    <w:p>
      <w:pPr>
        <w:ind w:left="580" w:hanging="181"/>
        <w:spacing w:after="0"/>
        <w:tabs>
          <w:tab w:leader="none" w:pos="5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dividends in respect of the Ordinary Shares;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580" w:right="3780" w:hanging="181"/>
        <w:spacing w:after="0" w:line="282" w:lineRule="auto"/>
        <w:tabs>
          <w:tab w:leader="none" w:pos="5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Ordinary Shares or providing that holders of preference shares have the right to vote on matters as a class;</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liquidation rights of the Ordinary Shares; or</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preventing a change of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66" w:name="page167"/>
    <w:bookmarkEnd w:id="166"/>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no preference shares issued and outstanding, and we have no present plans to designate the rights of or to issue any preference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foregoing, with respect to the Class A Shares, the payment of cash dividends in the future, if any, will be at the discretion of the Board. With respect to the Class B Shares, such members will not participate in dividends declared by the Board, if 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 of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Articles, if the share capital is divided into more than one class of shares, the rights attached to any such class may, whether or not the Company is being wound up, be varied without the consent of the holders of the issued shares of that class where such variation is considered by the directors not to have an adverse effect upon such rights; otherwise, any such variation shall be made only with the consent in writing of the holders of not less than three fourths of the issued Ordinary Shares of that class, or with the approval of a resolution passed by a majority of not less than three fourths of the issued Ordinary Shares of that class at a separate meeting of the holders of the Ordinary Shares of that class.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or Other Rights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holders of our Class A Shares have no preemptive or conversion rights or other subscription rights (other than in connection with certain issuances of common units under the Second Amended and Restated ProKidney Limited Partnership Agreement). There are no redemption or sinking fund provisions applicable to our Class A Shares. The rights, preferences and privileges of holders of our Class A Shares will be subject to those of the holders of any preference shares we may issue in the future.</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holders of our Class B Shares do not have preemptive, subscription, redemption or conversion rights. There will be no redemption or sinking fund provisions applicable to our Class B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member may transfer all or any of the member’s Ordinary Shares in compliance with the rules and regulations of Nasdaq, the SEC and any other competent regulatory authority or as permitted by applicable law.</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may in its absolute discretion decline to register a transfer of Ordinary Shares which are not fully paid up or on which the Company has a lien or issued under any share incentive scheme for employees upon which a transfer restriction imposed still exists. The Board may, but is not required to, decline to register a transfer of any Ordinary Shares unless certain requirements are met.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attempted transfer that is not a permitted transfer as described above will be null and void.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229" w:lineRule="exact"/>
        <w:rPr>
          <w:sz w:val="20"/>
          <w:szCs w:val="20"/>
          <w:color w:val="auto"/>
        </w:rPr>
      </w:pPr>
    </w:p>
    <w:p>
      <w:pPr>
        <w:jc w:val="both"/>
        <w:ind w:firstLine="50"/>
        <w:spacing w:after="0" w:line="258" w:lineRule="auto"/>
        <w:rPr>
          <w:sz w:val="20"/>
          <w:szCs w:val="20"/>
          <w:color w:val="auto"/>
        </w:rPr>
      </w:pPr>
      <w:r>
        <w:rPr>
          <w:rFonts w:ascii="Times New Roman" w:cs="Times New Roman" w:eastAsia="Times New Roman" w:hAnsi="Times New Roman"/>
          <w:sz w:val="18"/>
          <w:szCs w:val="18"/>
          <w:color w:val="auto"/>
        </w:rPr>
        <w:t xml:space="preserve">In the event of a winding up or dissolution of the Company, the Class A Shares shall, subject to any applicable law and the rights, if any, of the holders of any outstanding Preference Shares, carry the right to receive all the remaining assets of the Company available for distribution to the members of the Company, ratably in proportion to the number of Class A Shares held by them. Holders of Class B Shares shall be entitled,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holders of Class A Shares, to an amount equal to the capital paid up on such Class B Shares. Class B Shares shall not carry any other right to participate in the profits or assets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Executive Officers and Limitation of Liability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jc w:val="both"/>
        <w:spacing w:after="0" w:line="258" w:lineRule="auto"/>
        <w:rPr>
          <w:sz w:val="20"/>
          <w:szCs w:val="20"/>
          <w:color w:val="auto"/>
        </w:rPr>
      </w:pPr>
      <w:r>
        <w:rPr>
          <w:rFonts w:ascii="Times New Roman" w:cs="Times New Roman" w:eastAsia="Times New Roman" w:hAnsi="Times New Roman"/>
          <w:sz w:val="18"/>
          <w:szCs w:val="18"/>
          <w:color w:val="auto"/>
        </w:rPr>
        <w:t>courts to be contrary to public policy, such as to provide indemnification against civil fraud or the consequences of committing a crime. The Articles permit indemnification of officers and directors for any liability, action, proceeding, claim, demand, costs damages or expenses, including legal expenses, incurred in their capacities as such unless such liability (if any) arises from actual fraud, willful neglect or willful default, as determined by a court of competent jurisdiction in a final non-appealable order. In addition, we have entered into indemnification agreements with our directors and senior executive officers that provide such persons with additional indemnification beyond that provided in the Articles.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in the Articles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may be deemed to have an anti-takeover effect and may delay, deter or prevent a tender offer or takeover attempt that a member might consider to be in its best interests, including attempts that might result in a premium being paid over the market price for the Ordinary Shares. These provisions are also designed, in part, to encourage persons seeking to acquire control of us to first negotiate with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authorized but unissued Ordinary Shares will be available for future issuance by the Board on such terms as the Board may determine, subject to any limitations in the Articles. These additional shares may be utilized for a variety of corporate purposes, including future public offerings to raise additional capital, corporate acquisitions and employee benefit plans. The existence of authorized but unissued Ordinary Shares could render more difficult or discourage an attempt to obtain control over us by means of a proxy contest, tender offer, merger, amalgamation, scheme of arrangement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Preference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Preference shares could be issued quickly with terms calculated to delay or prevent a change in control of the Company or make removal of management more difficult. If the Board decides to issue these preference shares, the price of Ordinary Shares may fall and the voting and other rights of the holders of Ordinary Shares may be materially adversely affected. Pursuant to the Articles, preference shares may be issued by us from time to time, and the Board is authorized (without any requirement for further member action) to determine the rights, preferences, powers, qualifications, limitations and restrictions attaching to those shares (and any further undesignated shares which may be authorized by our members).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the Articles for a proper purpose and for what they believe in good faith to be in the best interests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comprised of nine directors. The Articles provide that, subject to the right of holders of any series of preference shares, our Board is divided into three classes of directors, as nearly equal in number as possible, and with the directors serving staggered three-year terms, with only one class of directors being elected at each annual general meeting. As a result, one-third of the Board will be elected each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classification of directors has the effect of making it more difficult for members to change the composition of the Board. The Articles provide for a board comprised of not less than one director, but in accordance with the Articles, the directors may increase or reduce the upper and lower limits of the number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i w:val="1"/>
          <w:iCs w:val="1"/>
          <w:color w:val="auto"/>
        </w:rPr>
        <w:t>Unanimous Action by Written Consent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Articles provide that members may approve corporate matters by way of a special resolution signed by or on behalf of each member who would have been entitled to vote on such matter at a general meeting without a meeting being held.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in respect of those matters expressly permitted under the Articles to be amended by ordinary resolution of the members, the Articles may be amended by special resolution of the members.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 Proposals and Director Nominations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general meeting may be called by the board of directors or any other person authorized to do so in the governing documents, but members may be precluded from calling special meetings.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Companies Act does not provide members with rights to requisition a general meeting and does not provide members with any right to put any proposal before a general meeting.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Articles provide that members seeking to bring business before an annual general meeting or to nominate candidates for appointment as directors at the annual general meeting must deliver notice to the Company not less than 120 calendar days before the date of the Company’s proxy statement released to members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is set by the Board with such deadline being a reasonable time before the Company begins to print and send its related proxy materials.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Companies Act does not provide members with rights to requisition a general meeting. The Articles permit the Board, the chief executive officer or the chairperson of the Board to call general meetings. The Articles do not allow members to requisition a general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Cumulative voting potentially facilitates the representation of minority members on a board of directors since it permits the minority member to cast all the votes to which the member is entitled on a single director, which increases the member’s voting power with respect to electing such director. As permitted under Cayman Islands law, the Articles do not provide for cumulative voting.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Members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Cayman Islands law has no statute that prohibits certain business combinations with an interested member. However, although Cayman Islands law does not regulate transactions between a company and its significant members, it does provide that such transactions must be entered into bona fide in the best interests of the company and for a proper corporate purpose and not with the effect of constituting a fraud on the minority members. Any merger or consolidation of the Company with one (1) or more constituent companies shall require the approval of a special resolution (66⅔% of members voting as one class at a general meeting where there is a quorum).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Dissolution; Winding Up</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(simple majority standard) of its members. The court has authority to order winding up in a number of specified circumstances including where it is, in the opinion of the court, just and equitable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9" w:name="page170"/>
    <w:bookmarkEnd w:id="169"/>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Under the Articles, if the Company is wound up, the liquidator may distribute the assets available for distribution amongst the members in proportion to the par value of the Ordinary Shares held by them at the commencement of the winding up subject to a deduction from those Ordinary Shares in respect of which there are monies due, of all monies payable to the Company for unpaid calls or otherwise. On a winding up or dissolution of the Company, the Class A Shares shall, subject to any applicable law and the rights, if any, of the holders of any outstanding Preference Shares, carry the right to receive all the remaining assets of the Company available for distribution to the members of the Company, ratably in proportion to the number of Class A Shares held by them. Holders of Class B Shares shall be entitled,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holders of Class A Shares, to an amount equal to the capital paid up on such Class B Shares. Class B Shares shall not carry any other right to participate in the profits or assets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Non-Resident or Foreign Members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no limitations imposed by the Articles on the rights of non-resident or foreign members to hold or exercise voting rights on the Company’s shares. In addition, there are no provisions in the Articles governing the ownership threshold above which member ownership must be disclosed.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Power to Issue Shares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applicable law, the Board is empowered to issue or allot shares or grant options and warrants with or without preferred, deferred, or other rights or restrictions.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shares have no general right under Cayman Islands law to inspect or obtain copies of the Company’s register of members or the Company’s corporate records.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Waiver of Certain Corporate Opportunities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Articles provide for a waiver of the obligation by the independent directors to provide business opportunities to the Company. Notwithstanding the foregoing, such provision in the Articles does not apply to any potential transaction or matter that may be a corporate opportunity for the Company or any of its subsidiaries presented to an independent director expressly in his or her capacity as a director of the Company or any of its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is divided into three (3) classes designated as Class I, Class II and Class III, respectively with directors divided into thirds among the classes. Subject to the Business Combination Agreement, directors are assigned to each class by the Board. At our 2025 annual general meeting, the term of office of the Class III directors shall expire and Class III directors shall be elected for a full term of three (3) years. At each succeeding annual general meeting, directors shall be elected for a full term of three (3) years to succeed the directors of the class whose terms expire at such annual general meeting. Directors hold office until the expiration of the director’s term, until a director’s successor has been duly elected and qualified or until such director’s earlier death, resignation or removal.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are elected by ordinary resolution passed by a simple majority of members entitled to vote.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director may in writing appoint another person to be such director’s alternate, with the alternate having the authority to act in the director’s place at any meeting at which the appointing director is unable to be present. A director may, but is not required to, appoint another director to be an alternate.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Articles, a director may be removed from office by special resolution of the members. A director will also cease to be a director if he or she (i) becomes bankrupt or makes any arrangement or composition with such director’s creditors; (ii) is found to be or becomes of unsound mind; (iii) resigns the office of director by notice in writing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0" w:name="page171"/>
    <w:bookmarkEnd w:id="170"/>
    <w:p>
      <w:pPr>
        <w:jc w:val="both"/>
        <w:spacing w:after="0" w:line="258" w:lineRule="auto"/>
        <w:rPr>
          <w:sz w:val="20"/>
          <w:szCs w:val="20"/>
          <w:color w:val="auto"/>
        </w:rPr>
      </w:pPr>
      <w:r>
        <w:rPr>
          <w:rFonts w:ascii="Times New Roman" w:cs="Times New Roman" w:eastAsia="Times New Roman" w:hAnsi="Times New Roman"/>
          <w:sz w:val="18"/>
          <w:szCs w:val="18"/>
          <w:color w:val="auto"/>
        </w:rPr>
        <w:t>company; (iv) absents himself or herself (for the avoidance of doubt, without being represented by an alternate) from three (3) consecutive meetings of the Board without special leave of absence from the Board, and the Board passes a resolution that he or she has by reason of such absence vacated office; or (v) all of the other directors (being not less than two in number) determine that such director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Filling Vacancies on the Board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Vacancies on the Board may be filled by the majority of the directors then in office, even if less than a quorum, or by a sole remaining director (subject to the Companies Act, applicable law, or any rights of any preference shares).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director appointed to fill a vacancy resulting from the death, resignation or removal of a director serves the remainder of the full term of the director whose death, resignation or removal created the vacancy and until his or her successor shall have been appointed and qualified.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Cayman Islands law, directors and officers owe the following general or fiduciary duties:</w:t>
      </w:r>
    </w:p>
    <w:p>
      <w:pPr>
        <w:spacing w:after="0" w:line="225" w:lineRule="exact"/>
        <w:rPr>
          <w:sz w:val="20"/>
          <w:szCs w:val="20"/>
          <w:color w:val="auto"/>
        </w:rPr>
      </w:pPr>
    </w:p>
    <w:p>
      <w:pPr>
        <w:ind w:left="580" w:right="4940" w:hanging="181"/>
        <w:spacing w:after="0" w:line="282" w:lineRule="auto"/>
        <w:tabs>
          <w:tab w:leader="none" w:pos="5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act in good faith in what the director or officer believes to be in the best interests of the company as a whole;</w:t>
      </w:r>
    </w:p>
    <w:p>
      <w:pPr>
        <w:spacing w:after="0" w:line="161" w:lineRule="exact"/>
        <w:rPr>
          <w:rFonts w:ascii="Times New Roman" w:cs="Times New Roman" w:eastAsia="Times New Roman" w:hAnsi="Times New Roman"/>
          <w:sz w:val="18"/>
          <w:szCs w:val="18"/>
          <w:color w:val="auto"/>
        </w:rPr>
      </w:pPr>
    </w:p>
    <w:p>
      <w:pPr>
        <w:ind w:left="580" w:right="4880" w:hanging="181"/>
        <w:spacing w:after="0" w:line="282" w:lineRule="auto"/>
        <w:tabs>
          <w:tab w:leader="none" w:pos="5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for the purposes for which those powers were conferred and not for a collateral purpose;</w:t>
      </w:r>
    </w:p>
    <w:p>
      <w:pPr>
        <w:spacing w:after="0" w:line="161"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not improperly fetter the exercise of future discretion;</w:t>
      </w:r>
    </w:p>
    <w:p>
      <w:pPr>
        <w:spacing w:after="0" w:line="225"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fairly as between different sections of members;</w:t>
      </w:r>
    </w:p>
    <w:p>
      <w:pPr>
        <w:spacing w:after="0" w:line="225" w:lineRule="exact"/>
        <w:rPr>
          <w:rFonts w:ascii="Times New Roman" w:cs="Times New Roman" w:eastAsia="Times New Roman" w:hAnsi="Times New Roman"/>
          <w:sz w:val="18"/>
          <w:szCs w:val="18"/>
          <w:color w:val="auto"/>
        </w:rPr>
      </w:pPr>
    </w:p>
    <w:p>
      <w:pPr>
        <w:ind w:left="580" w:right="4300" w:hanging="181"/>
        <w:spacing w:after="0" w:line="282" w:lineRule="auto"/>
        <w:tabs>
          <w:tab w:leader="none" w:pos="5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not to put themselves in a position in which there is a conflict between their duty to the company and their personal interests; and</w:t>
      </w:r>
    </w:p>
    <w:p>
      <w:pPr>
        <w:spacing w:after="0" w:line="161" w:lineRule="exact"/>
        <w:rPr>
          <w:rFonts w:ascii="Times New Roman" w:cs="Times New Roman" w:eastAsia="Times New Roman" w:hAnsi="Times New Roman"/>
          <w:sz w:val="18"/>
          <w:szCs w:val="18"/>
          <w:color w:val="auto"/>
        </w:rPr>
      </w:pPr>
    </w:p>
    <w:p>
      <w:pPr>
        <w:ind w:left="580" w:hanging="181"/>
        <w:spacing w:after="0"/>
        <w:tabs>
          <w:tab w:leader="none" w:pos="5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independent judgment.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members provided that there is full disclosure by the directors. This can be done by way of permission granted in the amended and restated memorandum and articles of association or alternatively by member approval at general meetings.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Members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law to call annual general meetings, however, pursuant to the Articles, directors are elected at annual general meetings and Nasdaq requires an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the Ordinary Shares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1" w:name="page172"/>
    <w:bookmarkEnd w:id="17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Shares are currently listed on the Nasdaq Capital Market under the symbol “PROK.”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Civil Liability under Cayman Islands Law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courts of the Cayman Islands are unlikely (i) to recognize, or enforce against us, judgments of courts of the United States predicated upon the civil liability provisions of the securities laws of the United States or any State; and (ii) in original actions brought in the Cayman Islands, to impose liabilities against us predicated upon the civil liability provisions of the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Anti-Money Laundering, Counter-Terrorist Financing, Prevention of Proliferation Financing and Financial Sanctions Compliance – Cayman Islands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any person resident in the Cayman Islands knows or suspects, or has reasonable grounds for knowing or suspecting, that another person is engaged in criminal conduct, is involved with terrorism or terrorist property or proliferation financing or is the target of a financial sanction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Act (as amended) of the Cayman Islands if the disclosure relates to criminal conduct, money laundering or proliferation financing or is the target of a financial sanction or (ii) a police officer of the rank of constable or higher, or the Financial Reporting Authority, pursuant to the Terrorism Act (as amended)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 — Cayman Islands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certain duties under the Data Protection Act (as amended) of the Cayman Islands (the “Data Protection Act”) based on internationally accepted principles of data privacy.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privacy notice puts our members on notice that through your investment in us you will provide us with certain personal information which constitutes personal data within the meaning of the Data Protection Act (“personal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Data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on an ongoing basis or to comply with legal and regulatory obligations to which we are subject. We will only transfer personal data in accordance with the requirements of the Data Protection Act and will apply appropriate technical and organizational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security measures designed to protect against unauthorized or unlawful processing of the personal data and against the accidental loss, destruction or damage to the personal data.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use of this personal data, we will be characterized as a “data controller” for the purposes of the Data Protection Act, while our affiliates and service providers who may receive this personal data from us in the conduct of our activities may either act as our “data processors” for the purposes of the Data Protection Act or may process personal information for their own lawful purposes in connection with services provided to 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this Affects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May Use a Member’s Personal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as the data controller, may collect, store and use personal data for lawful purposes, including, in particular:</w:t>
      </w:r>
    </w:p>
    <w:p>
      <w:pPr>
        <w:spacing w:after="0" w:line="225" w:lineRule="exact"/>
        <w:rPr>
          <w:sz w:val="20"/>
          <w:szCs w:val="20"/>
          <w:color w:val="auto"/>
        </w:rPr>
      </w:pPr>
    </w:p>
    <w:p>
      <w:pPr>
        <w:ind w:left="760" w:hanging="378"/>
        <w:spacing w:after="0"/>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our rights and obligations under any purchase agreements;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we are subject; and/or</w:t>
      </w:r>
    </w:p>
    <w:p>
      <w:pPr>
        <w:spacing w:after="0" w:line="252"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we wish to use personal data for other specific purposes (including, if applicable, any purpose that requires your consent), we will contact you.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We May Transfer Your Personal Data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anticipate disclosing personal data to persons who provide services to the company and their respective affiliates (which may include certain entities located outside the United States, the Cayman Islands or the European Economic Area), who will process your personal data on our behalf.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Data Protection Measures We Take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transfer of personal data by us or our duly authorized affiliates and/or delegates outside of the Cayman Islands shall be in accordance with the requirements of the Data Protection Act.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3" w:name="page174"/>
    <w:bookmarkEnd w:id="173"/>
    <w:p>
      <w:pPr>
        <w:spacing w:after="0" w:line="282" w:lineRule="auto"/>
        <w:rPr>
          <w:sz w:val="20"/>
          <w:szCs w:val="20"/>
          <w:color w:val="auto"/>
        </w:rPr>
      </w:pPr>
      <w:r>
        <w:rPr>
          <w:rFonts w:ascii="Times New Roman" w:cs="Times New Roman" w:eastAsia="Times New Roman" w:hAnsi="Times New Roman"/>
          <w:sz w:val="18"/>
          <w:szCs w:val="18"/>
          <w:color w:val="auto"/>
        </w:rPr>
        <w:t>We shall notify you of any personal data breach that is reasonably likely to result in a risk to your interests, fundamental rights or freedoms or those data subjects to whom the relevant personal data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Individual Data Subjects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 data subjects have certain data protection rights, including the right to:</w:t>
      </w:r>
    </w:p>
    <w:p>
      <w:pPr>
        <w:spacing w:after="0" w:line="225" w:lineRule="exact"/>
        <w:rPr>
          <w:sz w:val="20"/>
          <w:szCs w:val="20"/>
          <w:color w:val="auto"/>
        </w:rPr>
      </w:pPr>
    </w:p>
    <w:p>
      <w:pPr>
        <w:ind w:left="760" w:hanging="378"/>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informed about the purposes for which your personal data are processed;</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your personal data;</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direct marketing;</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processing of your personal data;</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incomplete or inaccurate personal data corrected;</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ask us to stop processing your personal data;</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informed of a personal data breach (unless the breach is unlikely to be prejudicial to you);</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complain to the Data Protection Ombudsman; and</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delete your personal data in some limited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 FOR PURCHASE AND SALE OF REAL PROPERTY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by and between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BREIT SE INDUSTRIAL PROPCO NC LP</w:t>
      </w:r>
      <w:r>
        <w:rPr>
          <w:rFonts w:ascii="Times New Roman" w:cs="Times New Roman" w:eastAsia="Times New Roman" w:hAnsi="Times New Roman"/>
          <w:sz w:val="20"/>
          <w:szCs w:val="20"/>
          <w:color w:val="auto"/>
        </w:rPr>
        <w:t>, a Delaware limited partnership, as SELLER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PROKIDNEY ACQUISITION COMPANY, LLC</w:t>
      </w:r>
      <w:r>
        <w:rPr>
          <w:rFonts w:ascii="Times New Roman" w:cs="Times New Roman" w:eastAsia="Times New Roman" w:hAnsi="Times New Roman"/>
          <w:sz w:val="20"/>
          <w:szCs w:val="20"/>
          <w:color w:val="auto"/>
        </w:rPr>
        <w:t>, as BUYER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3929 Westpoint Blvd., Winston Salem, North Carolina</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color w:val="auto"/>
        </w:rPr>
        <w:t xml:space="preserve"> 2598 Empire Drive, Winston Salem, North Carolina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980" w:type="dxa"/>
            <w:vAlign w:val="bottom"/>
            <w:gridSpan w:val="3"/>
          </w:tcPr>
          <w:p>
            <w:pPr>
              <w:ind w:left="300"/>
              <w:spacing w:after="0"/>
              <w:rPr>
                <w:sz w:val="20"/>
                <w:szCs w:val="20"/>
                <w:color w:val="auto"/>
              </w:rPr>
            </w:pPr>
            <w:r>
              <w:rPr>
                <w:rFonts w:ascii="Times New Roman" w:cs="Times New Roman" w:eastAsia="Times New Roman" w:hAnsi="Times New Roman"/>
                <w:sz w:val="20"/>
                <w:szCs w:val="20"/>
                <w:b w:val="1"/>
                <w:bCs w:val="1"/>
                <w:color w:val="auto"/>
              </w:rPr>
              <w:t>TABLE OF CONTENTS</w:t>
            </w:r>
          </w:p>
        </w:tc>
      </w:tr>
      <w:tr>
        <w:trPr>
          <w:trHeight w:val="472"/>
        </w:trPr>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4540" w:type="dxa"/>
            <w:vAlign w:val="bottom"/>
          </w:tcPr>
          <w:p>
            <w:pPr>
              <w:ind w:left="4140"/>
              <w:spacing w:after="0"/>
              <w:rPr>
                <w:sz w:val="20"/>
                <w:szCs w:val="20"/>
                <w:color w:val="auto"/>
              </w:rPr>
            </w:pPr>
            <w:r>
              <w:rPr>
                <w:rFonts w:ascii="Times New Roman" w:cs="Times New Roman" w:eastAsia="Times New Roman" w:hAnsi="Times New Roman"/>
                <w:sz w:val="20"/>
                <w:szCs w:val="20"/>
                <w:b w:val="1"/>
                <w:bCs w:val="1"/>
                <w:color w:val="auto"/>
                <w:w w:val="92"/>
              </w:rPr>
              <w:t>Page</w:t>
            </w:r>
          </w:p>
        </w:tc>
      </w:tr>
      <w:tr>
        <w:trPr>
          <w:trHeight w:val="446"/>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1.</w:t>
            </w: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Key Terms</w:t>
            </w:r>
          </w:p>
        </w:tc>
        <w:tc>
          <w:tcPr>
            <w:tcW w:w="3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3</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445"/>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2.</w:t>
            </w:r>
          </w:p>
        </w:tc>
        <w:tc>
          <w:tcPr>
            <w:tcW w:w="2420" w:type="dxa"/>
            <w:vAlign w:val="bottom"/>
            <w:gridSpan w:val="4"/>
          </w:tcPr>
          <w:p>
            <w:pPr>
              <w:ind w:left="140"/>
              <w:spacing w:after="0"/>
              <w:rPr>
                <w:sz w:val="20"/>
                <w:szCs w:val="20"/>
                <w:color w:val="auto"/>
              </w:rPr>
            </w:pPr>
            <w:r>
              <w:rPr>
                <w:rFonts w:ascii="Times New Roman" w:cs="Times New Roman" w:eastAsia="Times New Roman" w:hAnsi="Times New Roman"/>
                <w:sz w:val="20"/>
                <w:szCs w:val="20"/>
                <w:b w:val="1"/>
                <w:bCs w:val="1"/>
                <w:color w:val="auto"/>
              </w:rPr>
              <w:t>Terms and Definitions 3</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446"/>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3.</w:t>
            </w:r>
          </w:p>
        </w:tc>
        <w:tc>
          <w:tcPr>
            <w:tcW w:w="10180" w:type="dxa"/>
            <w:vAlign w:val="bottom"/>
            <w:gridSpan w:val="8"/>
          </w:tcPr>
          <w:p>
            <w:pPr>
              <w:ind w:left="140"/>
              <w:spacing w:after="0"/>
              <w:rPr>
                <w:sz w:val="20"/>
                <w:szCs w:val="20"/>
                <w:color w:val="auto"/>
              </w:rPr>
            </w:pPr>
            <w:r>
              <w:rPr>
                <w:rFonts w:ascii="Times New Roman" w:cs="Times New Roman" w:eastAsia="Times New Roman" w:hAnsi="Times New Roman"/>
                <w:sz w:val="20"/>
                <w:szCs w:val="20"/>
                <w:b w:val="1"/>
                <w:bCs w:val="1"/>
                <w:color w:val="auto"/>
              </w:rPr>
              <w:t>Sale of Property and Exclusion of Assets  9</w:t>
            </w:r>
          </w:p>
        </w:tc>
      </w:tr>
      <w:tr>
        <w:trPr>
          <w:trHeight w:val="445"/>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4.</w:t>
            </w:r>
          </w:p>
        </w:tc>
        <w:tc>
          <w:tcPr>
            <w:tcW w:w="3200" w:type="dxa"/>
            <w:vAlign w:val="bottom"/>
            <w:gridSpan w:val="5"/>
          </w:tcPr>
          <w:p>
            <w:pPr>
              <w:ind w:left="140"/>
              <w:spacing w:after="0"/>
              <w:rPr>
                <w:sz w:val="20"/>
                <w:szCs w:val="20"/>
                <w:color w:val="auto"/>
              </w:rPr>
            </w:pPr>
            <w:r>
              <w:rPr>
                <w:rFonts w:ascii="Times New Roman" w:cs="Times New Roman" w:eastAsia="Times New Roman" w:hAnsi="Times New Roman"/>
                <w:sz w:val="20"/>
                <w:szCs w:val="20"/>
                <w:b w:val="1"/>
                <w:bCs w:val="1"/>
                <w:color w:val="auto"/>
              </w:rPr>
              <w:t>Payment of Purchase Price 10</w:t>
            </w: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446"/>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5.</w:t>
            </w:r>
          </w:p>
        </w:tc>
        <w:tc>
          <w:tcPr>
            <w:tcW w:w="10180" w:type="dxa"/>
            <w:vAlign w:val="bottom"/>
            <w:gridSpan w:val="8"/>
          </w:tcPr>
          <w:p>
            <w:pPr>
              <w:ind w:left="140"/>
              <w:spacing w:after="0"/>
              <w:rPr>
                <w:sz w:val="20"/>
                <w:szCs w:val="20"/>
                <w:color w:val="auto"/>
              </w:rPr>
            </w:pPr>
            <w:r>
              <w:rPr>
                <w:rFonts w:ascii="Times New Roman" w:cs="Times New Roman" w:eastAsia="Times New Roman" w:hAnsi="Times New Roman"/>
                <w:sz w:val="20"/>
                <w:szCs w:val="20"/>
                <w:b w:val="1"/>
                <w:bCs w:val="1"/>
                <w:color w:val="auto"/>
              </w:rPr>
              <w:t>Proration of Income and Expenses and Payment of Costs and Recording Fees  11</w:t>
            </w:r>
          </w:p>
        </w:tc>
      </w:tr>
      <w:tr>
        <w:trPr>
          <w:trHeight w:val="445"/>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6.</w:t>
            </w:r>
          </w:p>
        </w:tc>
        <w:tc>
          <w:tcPr>
            <w:tcW w:w="2420" w:type="dxa"/>
            <w:vAlign w:val="bottom"/>
            <w:gridSpan w:val="4"/>
          </w:tcPr>
          <w:p>
            <w:pPr>
              <w:ind w:left="140"/>
              <w:spacing w:after="0"/>
              <w:rPr>
                <w:sz w:val="20"/>
                <w:szCs w:val="20"/>
                <w:color w:val="auto"/>
              </w:rPr>
            </w:pPr>
            <w:r>
              <w:rPr>
                <w:rFonts w:ascii="Times New Roman" w:cs="Times New Roman" w:eastAsia="Times New Roman" w:hAnsi="Times New Roman"/>
                <w:sz w:val="20"/>
                <w:szCs w:val="20"/>
                <w:b w:val="1"/>
                <w:bCs w:val="1"/>
                <w:color w:val="auto"/>
              </w:rPr>
              <w:t>Examination of Property</w:t>
            </w:r>
          </w:p>
        </w:tc>
        <w:tc>
          <w:tcPr>
            <w:tcW w:w="780" w:type="dxa"/>
            <w:vAlign w:val="bottom"/>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17</w:t>
            </w: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446"/>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7.</w:t>
            </w:r>
          </w:p>
        </w:tc>
        <w:tc>
          <w:tcPr>
            <w:tcW w:w="3200" w:type="dxa"/>
            <w:vAlign w:val="bottom"/>
            <w:gridSpan w:val="5"/>
          </w:tcPr>
          <w:p>
            <w:pPr>
              <w:ind w:left="140"/>
              <w:spacing w:after="0"/>
              <w:rPr>
                <w:sz w:val="20"/>
                <w:szCs w:val="20"/>
                <w:color w:val="auto"/>
              </w:rPr>
            </w:pPr>
            <w:r>
              <w:rPr>
                <w:rFonts w:ascii="Times New Roman" w:cs="Times New Roman" w:eastAsia="Times New Roman" w:hAnsi="Times New Roman"/>
                <w:sz w:val="20"/>
                <w:szCs w:val="20"/>
                <w:b w:val="1"/>
                <w:bCs w:val="1"/>
                <w:color w:val="auto"/>
              </w:rPr>
              <w:t>Earnest Money Disbursement   19</w:t>
            </w: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445"/>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8.</w:t>
            </w:r>
          </w:p>
        </w:tc>
        <w:tc>
          <w:tcPr>
            <w:tcW w:w="2420" w:type="dxa"/>
            <w:vAlign w:val="bottom"/>
            <w:gridSpan w:val="4"/>
          </w:tcPr>
          <w:p>
            <w:pPr>
              <w:ind w:left="140"/>
              <w:spacing w:after="0"/>
              <w:rPr>
                <w:sz w:val="20"/>
                <w:szCs w:val="20"/>
                <w:color w:val="auto"/>
              </w:rPr>
            </w:pPr>
            <w:r>
              <w:rPr>
                <w:rFonts w:ascii="Times New Roman" w:cs="Times New Roman" w:eastAsia="Times New Roman" w:hAnsi="Times New Roman"/>
                <w:sz w:val="20"/>
                <w:szCs w:val="20"/>
                <w:b w:val="1"/>
                <w:bCs w:val="1"/>
                <w:color w:val="auto"/>
              </w:rPr>
              <w:t>Seller’s Representations</w:t>
            </w:r>
          </w:p>
        </w:tc>
        <w:tc>
          <w:tcPr>
            <w:tcW w:w="780" w:type="dxa"/>
            <w:vAlign w:val="bottom"/>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w:t>
            </w: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446"/>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9.</w:t>
            </w:r>
          </w:p>
        </w:tc>
        <w:tc>
          <w:tcPr>
            <w:tcW w:w="2420" w:type="dxa"/>
            <w:vAlign w:val="bottom"/>
            <w:gridSpan w:val="4"/>
          </w:tcPr>
          <w:p>
            <w:pPr>
              <w:ind w:left="140"/>
              <w:spacing w:after="0"/>
              <w:rPr>
                <w:sz w:val="20"/>
                <w:szCs w:val="20"/>
                <w:color w:val="auto"/>
              </w:rPr>
            </w:pPr>
            <w:r>
              <w:rPr>
                <w:rFonts w:ascii="Times New Roman" w:cs="Times New Roman" w:eastAsia="Times New Roman" w:hAnsi="Times New Roman"/>
                <w:sz w:val="20"/>
                <w:szCs w:val="20"/>
                <w:b w:val="1"/>
                <w:bCs w:val="1"/>
                <w:color w:val="auto"/>
              </w:rPr>
              <w:t>Buyer’s Representations</w:t>
            </w:r>
          </w:p>
        </w:tc>
        <w:tc>
          <w:tcPr>
            <w:tcW w:w="780" w:type="dxa"/>
            <w:vAlign w:val="bottom"/>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22</w:t>
            </w: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446"/>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10.</w:t>
            </w:r>
          </w:p>
        </w:tc>
        <w:tc>
          <w:tcPr>
            <w:tcW w:w="3200" w:type="dxa"/>
            <w:vAlign w:val="bottom"/>
            <w:gridSpan w:val="5"/>
          </w:tcPr>
          <w:p>
            <w:pPr>
              <w:ind w:left="140"/>
              <w:spacing w:after="0"/>
              <w:rPr>
                <w:sz w:val="20"/>
                <w:szCs w:val="20"/>
                <w:color w:val="auto"/>
              </w:rPr>
            </w:pPr>
            <w:r>
              <w:rPr>
                <w:rFonts w:ascii="Times New Roman" w:cs="Times New Roman" w:eastAsia="Times New Roman" w:hAnsi="Times New Roman"/>
                <w:sz w:val="20"/>
                <w:szCs w:val="20"/>
                <w:b w:val="1"/>
                <w:bCs w:val="1"/>
                <w:color w:val="auto"/>
              </w:rPr>
              <w:t>Conditions to Buyer’s Obligations</w:t>
            </w:r>
          </w:p>
        </w:tc>
        <w:tc>
          <w:tcPr>
            <w:tcW w:w="2440" w:type="dxa"/>
            <w:vAlign w:val="bottom"/>
            <w:gridSpan w:val="2"/>
          </w:tcPr>
          <w:p>
            <w:pPr>
              <w:jc w:val="right"/>
              <w:ind w:right="2140"/>
              <w:spacing w:after="0"/>
              <w:rPr>
                <w:sz w:val="20"/>
                <w:szCs w:val="20"/>
                <w:color w:val="auto"/>
              </w:rPr>
            </w:pPr>
            <w:r>
              <w:rPr>
                <w:rFonts w:ascii="Times New Roman" w:cs="Times New Roman" w:eastAsia="Times New Roman" w:hAnsi="Times New Roman"/>
                <w:sz w:val="20"/>
                <w:szCs w:val="20"/>
                <w:b w:val="1"/>
                <w:bCs w:val="1"/>
                <w:color w:val="auto"/>
              </w:rPr>
              <w:t>23</w:t>
            </w:r>
          </w:p>
        </w:tc>
        <w:tc>
          <w:tcPr>
            <w:tcW w:w="4540" w:type="dxa"/>
            <w:vAlign w:val="bottom"/>
          </w:tcPr>
          <w:p>
            <w:pPr>
              <w:spacing w:after="0"/>
              <w:rPr>
                <w:sz w:val="24"/>
                <w:szCs w:val="24"/>
                <w:color w:val="auto"/>
              </w:rPr>
            </w:pPr>
          </w:p>
        </w:tc>
      </w:tr>
      <w:tr>
        <w:trPr>
          <w:trHeight w:val="445"/>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11.</w:t>
            </w:r>
          </w:p>
        </w:tc>
        <w:tc>
          <w:tcPr>
            <w:tcW w:w="3200" w:type="dxa"/>
            <w:vAlign w:val="bottom"/>
            <w:gridSpan w:val="5"/>
          </w:tcPr>
          <w:p>
            <w:pPr>
              <w:ind w:left="140"/>
              <w:spacing w:after="0"/>
              <w:rPr>
                <w:sz w:val="20"/>
                <w:szCs w:val="20"/>
                <w:color w:val="auto"/>
              </w:rPr>
            </w:pPr>
            <w:r>
              <w:rPr>
                <w:rFonts w:ascii="Times New Roman" w:cs="Times New Roman" w:eastAsia="Times New Roman" w:hAnsi="Times New Roman"/>
                <w:sz w:val="20"/>
                <w:szCs w:val="20"/>
                <w:b w:val="1"/>
                <w:bCs w:val="1"/>
                <w:color w:val="auto"/>
              </w:rPr>
              <w:t>Conditions to Seller’s Obligations</w:t>
            </w:r>
          </w:p>
        </w:tc>
        <w:tc>
          <w:tcPr>
            <w:tcW w:w="2440" w:type="dxa"/>
            <w:vAlign w:val="bottom"/>
            <w:gridSpan w:val="2"/>
          </w:tcPr>
          <w:p>
            <w:pPr>
              <w:jc w:val="right"/>
              <w:ind w:right="2140"/>
              <w:spacing w:after="0"/>
              <w:rPr>
                <w:sz w:val="20"/>
                <w:szCs w:val="20"/>
                <w:color w:val="auto"/>
              </w:rPr>
            </w:pPr>
            <w:r>
              <w:rPr>
                <w:rFonts w:ascii="Times New Roman" w:cs="Times New Roman" w:eastAsia="Times New Roman" w:hAnsi="Times New Roman"/>
                <w:sz w:val="20"/>
                <w:szCs w:val="20"/>
                <w:b w:val="1"/>
                <w:bCs w:val="1"/>
                <w:color w:val="auto"/>
              </w:rPr>
              <w:t>24</w:t>
            </w:r>
          </w:p>
        </w:tc>
        <w:tc>
          <w:tcPr>
            <w:tcW w:w="4540" w:type="dxa"/>
            <w:vAlign w:val="bottom"/>
          </w:tcPr>
          <w:p>
            <w:pPr>
              <w:spacing w:after="0"/>
              <w:rPr>
                <w:sz w:val="24"/>
                <w:szCs w:val="24"/>
                <w:color w:val="auto"/>
              </w:rPr>
            </w:pPr>
          </w:p>
        </w:tc>
      </w:tr>
      <w:tr>
        <w:trPr>
          <w:trHeight w:val="445"/>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12.</w:t>
            </w: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20"/>
                <w:szCs w:val="20"/>
                <w:b w:val="1"/>
                <w:bCs w:val="1"/>
                <w:color w:val="auto"/>
              </w:rPr>
              <w:t>Seller Covenants</w:t>
            </w:r>
          </w:p>
        </w:tc>
        <w:tc>
          <w:tcPr>
            <w:tcW w:w="780" w:type="dxa"/>
            <w:vAlign w:val="bottom"/>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25</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445"/>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13.</w:t>
            </w: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20"/>
                <w:szCs w:val="20"/>
                <w:b w:val="1"/>
                <w:bCs w:val="1"/>
                <w:color w:val="auto"/>
              </w:rPr>
              <w:t>Tenant Estoppel</w:t>
            </w:r>
          </w:p>
        </w:tc>
        <w:tc>
          <w:tcPr>
            <w:tcW w:w="780" w:type="dxa"/>
            <w:vAlign w:val="bottom"/>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25</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446"/>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14.</w:t>
            </w:r>
          </w:p>
        </w:tc>
        <w:tc>
          <w:tcPr>
            <w:tcW w:w="8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Closing</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26</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445"/>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15.</w:t>
            </w:r>
          </w:p>
        </w:tc>
        <w:tc>
          <w:tcPr>
            <w:tcW w:w="3200" w:type="dxa"/>
            <w:vAlign w:val="bottom"/>
            <w:gridSpan w:val="5"/>
          </w:tcPr>
          <w:p>
            <w:pPr>
              <w:ind w:left="140"/>
              <w:spacing w:after="0"/>
              <w:rPr>
                <w:sz w:val="20"/>
                <w:szCs w:val="20"/>
                <w:color w:val="auto"/>
              </w:rPr>
            </w:pPr>
            <w:r>
              <w:rPr>
                <w:rFonts w:ascii="Times New Roman" w:cs="Times New Roman" w:eastAsia="Times New Roman" w:hAnsi="Times New Roman"/>
                <w:sz w:val="20"/>
                <w:szCs w:val="20"/>
                <w:b w:val="1"/>
                <w:bCs w:val="1"/>
                <w:color w:val="auto"/>
              </w:rPr>
              <w:t>Default; Breach of Representation</w:t>
            </w:r>
          </w:p>
        </w:tc>
        <w:tc>
          <w:tcPr>
            <w:tcW w:w="2440" w:type="dxa"/>
            <w:vAlign w:val="bottom"/>
            <w:gridSpan w:val="2"/>
          </w:tcPr>
          <w:p>
            <w:pPr>
              <w:jc w:val="right"/>
              <w:ind w:right="2140"/>
              <w:spacing w:after="0"/>
              <w:rPr>
                <w:sz w:val="20"/>
                <w:szCs w:val="20"/>
                <w:color w:val="auto"/>
              </w:rPr>
            </w:pPr>
            <w:r>
              <w:rPr>
                <w:rFonts w:ascii="Times New Roman" w:cs="Times New Roman" w:eastAsia="Times New Roman" w:hAnsi="Times New Roman"/>
                <w:sz w:val="20"/>
                <w:szCs w:val="20"/>
                <w:b w:val="1"/>
                <w:bCs w:val="1"/>
                <w:color w:val="auto"/>
              </w:rPr>
              <w:t>27</w:t>
            </w:r>
          </w:p>
        </w:tc>
        <w:tc>
          <w:tcPr>
            <w:tcW w:w="4540" w:type="dxa"/>
            <w:vAlign w:val="bottom"/>
          </w:tcPr>
          <w:p>
            <w:pPr>
              <w:spacing w:after="0"/>
              <w:rPr>
                <w:sz w:val="24"/>
                <w:szCs w:val="24"/>
                <w:color w:val="auto"/>
              </w:rPr>
            </w:pPr>
          </w:p>
        </w:tc>
      </w:tr>
      <w:tr>
        <w:trPr>
          <w:trHeight w:val="445"/>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16.</w:t>
            </w:r>
          </w:p>
        </w:tc>
        <w:tc>
          <w:tcPr>
            <w:tcW w:w="3200" w:type="dxa"/>
            <w:vAlign w:val="bottom"/>
            <w:gridSpan w:val="5"/>
          </w:tcPr>
          <w:p>
            <w:pPr>
              <w:ind w:left="140"/>
              <w:spacing w:after="0"/>
              <w:rPr>
                <w:sz w:val="20"/>
                <w:szCs w:val="20"/>
                <w:color w:val="auto"/>
              </w:rPr>
            </w:pPr>
            <w:r>
              <w:rPr>
                <w:rFonts w:ascii="Times New Roman" w:cs="Times New Roman" w:eastAsia="Times New Roman" w:hAnsi="Times New Roman"/>
                <w:sz w:val="20"/>
                <w:szCs w:val="20"/>
                <w:b w:val="1"/>
                <w:bCs w:val="1"/>
                <w:color w:val="auto"/>
              </w:rPr>
              <w:t>Risk of Loss/Condemnation 28</w:t>
            </w: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445"/>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17.</w:t>
            </w:r>
          </w:p>
        </w:tc>
        <w:tc>
          <w:tcPr>
            <w:tcW w:w="2420" w:type="dxa"/>
            <w:vAlign w:val="bottom"/>
            <w:gridSpan w:val="4"/>
          </w:tcPr>
          <w:p>
            <w:pPr>
              <w:ind w:left="140"/>
              <w:spacing w:after="0"/>
              <w:rPr>
                <w:sz w:val="20"/>
                <w:szCs w:val="20"/>
                <w:color w:val="auto"/>
              </w:rPr>
            </w:pPr>
            <w:r>
              <w:rPr>
                <w:rFonts w:ascii="Times New Roman" w:cs="Times New Roman" w:eastAsia="Times New Roman" w:hAnsi="Times New Roman"/>
                <w:sz w:val="20"/>
                <w:szCs w:val="20"/>
                <w:b w:val="1"/>
                <w:bCs w:val="1"/>
                <w:color w:val="auto"/>
              </w:rPr>
              <w:t>Entire Agreement 29</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445"/>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18.</w:t>
            </w:r>
          </w:p>
        </w:tc>
        <w:tc>
          <w:tcPr>
            <w:tcW w:w="3200" w:type="dxa"/>
            <w:vAlign w:val="bottom"/>
            <w:gridSpan w:val="5"/>
          </w:tcPr>
          <w:p>
            <w:pPr>
              <w:ind w:left="140"/>
              <w:spacing w:after="0"/>
              <w:rPr>
                <w:sz w:val="20"/>
                <w:szCs w:val="20"/>
                <w:color w:val="auto"/>
              </w:rPr>
            </w:pPr>
            <w:r>
              <w:rPr>
                <w:rFonts w:ascii="Times New Roman" w:cs="Times New Roman" w:eastAsia="Times New Roman" w:hAnsi="Times New Roman"/>
                <w:sz w:val="20"/>
                <w:szCs w:val="20"/>
                <w:b w:val="1"/>
                <w:bCs w:val="1"/>
                <w:color w:val="auto"/>
              </w:rPr>
              <w:t>No Representations or Warranties</w:t>
            </w:r>
          </w:p>
        </w:tc>
        <w:tc>
          <w:tcPr>
            <w:tcW w:w="2440" w:type="dxa"/>
            <w:vAlign w:val="bottom"/>
            <w:gridSpan w:val="2"/>
          </w:tcPr>
          <w:p>
            <w:pPr>
              <w:jc w:val="right"/>
              <w:ind w:right="2140"/>
              <w:spacing w:after="0"/>
              <w:rPr>
                <w:sz w:val="20"/>
                <w:szCs w:val="20"/>
                <w:color w:val="auto"/>
              </w:rPr>
            </w:pPr>
            <w:r>
              <w:rPr>
                <w:rFonts w:ascii="Times New Roman" w:cs="Times New Roman" w:eastAsia="Times New Roman" w:hAnsi="Times New Roman"/>
                <w:sz w:val="20"/>
                <w:szCs w:val="20"/>
                <w:b w:val="1"/>
                <w:bCs w:val="1"/>
                <w:color w:val="auto"/>
              </w:rPr>
              <w:t>29</w:t>
            </w:r>
          </w:p>
        </w:tc>
        <w:tc>
          <w:tcPr>
            <w:tcW w:w="4540" w:type="dxa"/>
            <w:vAlign w:val="bottom"/>
          </w:tcPr>
          <w:p>
            <w:pPr>
              <w:spacing w:after="0"/>
              <w:rPr>
                <w:sz w:val="24"/>
                <w:szCs w:val="24"/>
                <w:color w:val="auto"/>
              </w:rPr>
            </w:pPr>
          </w:p>
        </w:tc>
      </w:tr>
      <w:tr>
        <w:trPr>
          <w:trHeight w:val="445"/>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19.</w:t>
            </w:r>
          </w:p>
        </w:tc>
        <w:tc>
          <w:tcPr>
            <w:tcW w:w="8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Notices</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30</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445"/>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20.</w:t>
            </w: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20"/>
                <w:szCs w:val="20"/>
                <w:b w:val="1"/>
                <w:bCs w:val="1"/>
                <w:color w:val="auto"/>
              </w:rPr>
              <w:t>Applicable Law</w:t>
            </w:r>
          </w:p>
        </w:tc>
        <w:tc>
          <w:tcPr>
            <w:tcW w:w="780" w:type="dxa"/>
            <w:vAlign w:val="bottom"/>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30</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445"/>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21.</w:t>
            </w:r>
          </w:p>
        </w:tc>
        <w:tc>
          <w:tcPr>
            <w:tcW w:w="2420" w:type="dxa"/>
            <w:vAlign w:val="bottom"/>
            <w:gridSpan w:val="4"/>
          </w:tcPr>
          <w:p>
            <w:pPr>
              <w:ind w:left="140"/>
              <w:spacing w:after="0"/>
              <w:rPr>
                <w:sz w:val="20"/>
                <w:szCs w:val="20"/>
                <w:color w:val="auto"/>
              </w:rPr>
            </w:pPr>
            <w:r>
              <w:rPr>
                <w:rFonts w:ascii="Times New Roman" w:cs="Times New Roman" w:eastAsia="Times New Roman" w:hAnsi="Times New Roman"/>
                <w:sz w:val="20"/>
                <w:szCs w:val="20"/>
                <w:b w:val="1"/>
                <w:bCs w:val="1"/>
                <w:color w:val="auto"/>
              </w:rPr>
              <w:t>Broker’s Commissions 30</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446"/>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22.</w:t>
            </w: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Assignment</w:t>
            </w:r>
          </w:p>
        </w:tc>
        <w:tc>
          <w:tcPr>
            <w:tcW w:w="3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30</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445"/>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23.</w:t>
            </w: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20"/>
                <w:szCs w:val="20"/>
                <w:b w:val="1"/>
                <w:bCs w:val="1"/>
                <w:color w:val="auto"/>
              </w:rPr>
              <w:t>Attorneys’ Fees</w:t>
            </w:r>
          </w:p>
        </w:tc>
        <w:tc>
          <w:tcPr>
            <w:tcW w:w="780" w:type="dxa"/>
            <w:vAlign w:val="bottom"/>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31</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445"/>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24.</w:t>
            </w: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Jury Waiver</w:t>
            </w:r>
          </w:p>
        </w:tc>
        <w:tc>
          <w:tcPr>
            <w:tcW w:w="3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31</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40" w:type="dxa"/>
            <w:vAlign w:val="bottom"/>
          </w:tcPr>
          <w:p>
            <w:pPr>
              <w:spacing w:after="0"/>
              <w:rPr>
                <w:sz w:val="24"/>
                <w:szCs w:val="24"/>
                <w:color w:val="auto"/>
              </w:rPr>
            </w:pPr>
          </w:p>
        </w:tc>
      </w:tr>
    </w:tbl>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76" w:name="page177"/>
    <w:bookmarkEnd w:id="176"/>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25.</w:t>
            </w:r>
          </w:p>
        </w:tc>
        <w:tc>
          <w:tcPr>
            <w:tcW w:w="2420" w:type="dxa"/>
            <w:vAlign w:val="bottom"/>
            <w:gridSpan w:val="3"/>
          </w:tcPr>
          <w:p>
            <w:pPr>
              <w:ind w:left="140"/>
              <w:spacing w:after="0"/>
              <w:rPr>
                <w:sz w:val="20"/>
                <w:szCs w:val="20"/>
                <w:color w:val="auto"/>
              </w:rPr>
            </w:pPr>
            <w:r>
              <w:rPr>
                <w:rFonts w:ascii="Times New Roman" w:cs="Times New Roman" w:eastAsia="Times New Roman" w:hAnsi="Times New Roman"/>
                <w:sz w:val="20"/>
                <w:szCs w:val="20"/>
                <w:b w:val="1"/>
                <w:bCs w:val="1"/>
                <w:color w:val="auto"/>
              </w:rPr>
              <w:t>Tax Deferred Exchange</w:t>
            </w:r>
          </w:p>
        </w:tc>
        <w:tc>
          <w:tcPr>
            <w:tcW w:w="1080" w:type="dxa"/>
            <w:vAlign w:val="bottom"/>
          </w:tcPr>
          <w:p>
            <w:pPr>
              <w:jc w:val="right"/>
              <w:ind w:right="701"/>
              <w:spacing w:after="0"/>
              <w:rPr>
                <w:sz w:val="20"/>
                <w:szCs w:val="20"/>
                <w:color w:val="auto"/>
              </w:rPr>
            </w:pPr>
            <w:r>
              <w:rPr>
                <w:rFonts w:ascii="Times New Roman" w:cs="Times New Roman" w:eastAsia="Times New Roman" w:hAnsi="Times New Roman"/>
                <w:sz w:val="20"/>
                <w:szCs w:val="20"/>
                <w:b w:val="1"/>
                <w:bCs w:val="1"/>
                <w:color w:val="auto"/>
              </w:rPr>
              <w:t>31</w:t>
            </w:r>
          </w:p>
        </w:tc>
      </w:tr>
      <w:tr>
        <w:trPr>
          <w:trHeight w:val="445"/>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26.</w:t>
            </w:r>
          </w:p>
        </w:tc>
        <w:tc>
          <w:tcPr>
            <w:tcW w:w="3500" w:type="dxa"/>
            <w:vAlign w:val="bottom"/>
            <w:gridSpan w:val="4"/>
          </w:tcPr>
          <w:p>
            <w:pPr>
              <w:ind w:left="140"/>
              <w:spacing w:after="0"/>
              <w:rPr>
                <w:sz w:val="20"/>
                <w:szCs w:val="20"/>
                <w:color w:val="auto"/>
              </w:rPr>
            </w:pPr>
            <w:r>
              <w:rPr>
                <w:rFonts w:ascii="Times New Roman" w:cs="Times New Roman" w:eastAsia="Times New Roman" w:hAnsi="Times New Roman"/>
                <w:sz w:val="20"/>
                <w:szCs w:val="20"/>
                <w:b w:val="1"/>
                <w:bCs w:val="1"/>
                <w:color w:val="auto"/>
                <w:w w:val="99"/>
              </w:rPr>
              <w:t>Confidentiality/No Public Disclosure 31</w:t>
            </w:r>
          </w:p>
        </w:tc>
      </w:tr>
      <w:tr>
        <w:trPr>
          <w:trHeight w:val="446"/>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27.</w:t>
            </w:r>
          </w:p>
        </w:tc>
        <w:tc>
          <w:tcPr>
            <w:tcW w:w="13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Exculpation</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w w:val="89"/>
              </w:rPr>
              <w:t>32</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5"/>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28.</w:t>
            </w:r>
          </w:p>
        </w:tc>
        <w:tc>
          <w:tcPr>
            <w:tcW w:w="13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Survival 32</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6"/>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29.</w:t>
            </w:r>
          </w:p>
        </w:tc>
        <w:tc>
          <w:tcPr>
            <w:tcW w:w="2420" w:type="dxa"/>
            <w:vAlign w:val="bottom"/>
            <w:gridSpan w:val="3"/>
          </w:tcPr>
          <w:p>
            <w:pPr>
              <w:ind w:left="140"/>
              <w:spacing w:after="0"/>
              <w:rPr>
                <w:sz w:val="20"/>
                <w:szCs w:val="20"/>
                <w:color w:val="auto"/>
              </w:rPr>
            </w:pPr>
            <w:r>
              <w:rPr>
                <w:rFonts w:ascii="Times New Roman" w:cs="Times New Roman" w:eastAsia="Times New Roman" w:hAnsi="Times New Roman"/>
                <w:sz w:val="20"/>
                <w:szCs w:val="20"/>
                <w:b w:val="1"/>
                <w:bCs w:val="1"/>
                <w:color w:val="auto"/>
              </w:rPr>
              <w:t>Computation of Time  32</w:t>
            </w:r>
          </w:p>
        </w:tc>
        <w:tc>
          <w:tcPr>
            <w:tcW w:w="1080" w:type="dxa"/>
            <w:vAlign w:val="bottom"/>
          </w:tcPr>
          <w:p>
            <w:pPr>
              <w:spacing w:after="0"/>
              <w:rPr>
                <w:sz w:val="24"/>
                <w:szCs w:val="24"/>
                <w:color w:val="auto"/>
              </w:rPr>
            </w:pPr>
          </w:p>
        </w:tc>
      </w:tr>
      <w:tr>
        <w:trPr>
          <w:trHeight w:val="445"/>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30.</w:t>
            </w:r>
          </w:p>
        </w:tc>
        <w:tc>
          <w:tcPr>
            <w:tcW w:w="3500" w:type="dxa"/>
            <w:vAlign w:val="bottom"/>
            <w:gridSpan w:val="4"/>
          </w:tcPr>
          <w:p>
            <w:pPr>
              <w:ind w:left="140"/>
              <w:spacing w:after="0"/>
              <w:rPr>
                <w:sz w:val="20"/>
                <w:szCs w:val="20"/>
                <w:color w:val="auto"/>
              </w:rPr>
            </w:pPr>
            <w:r>
              <w:rPr>
                <w:rFonts w:ascii="Times New Roman" w:cs="Times New Roman" w:eastAsia="Times New Roman" w:hAnsi="Times New Roman"/>
                <w:sz w:val="20"/>
                <w:szCs w:val="20"/>
                <w:b w:val="1"/>
                <w:bCs w:val="1"/>
                <w:color w:val="auto"/>
                <w:w w:val="99"/>
              </w:rPr>
              <w:t>Counterparts; Electronic Signatures 32</w:t>
            </w:r>
          </w:p>
        </w:tc>
      </w:tr>
      <w:tr>
        <w:trPr>
          <w:trHeight w:val="446"/>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31.</w:t>
            </w:r>
          </w:p>
        </w:tc>
        <w:tc>
          <w:tcPr>
            <w:tcW w:w="13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w w:val="97"/>
              </w:rPr>
              <w:t>No Recording</w:t>
            </w:r>
          </w:p>
        </w:tc>
        <w:tc>
          <w:tcPr>
            <w:tcW w:w="320" w:type="dxa"/>
            <w:vAlign w:val="bottom"/>
          </w:tcPr>
          <w:p>
            <w:pPr>
              <w:spacing w:after="0"/>
              <w:rPr>
                <w:sz w:val="24"/>
                <w:szCs w:val="24"/>
                <w:color w:val="auto"/>
              </w:rPr>
            </w:pPr>
          </w:p>
        </w:tc>
        <w:tc>
          <w:tcPr>
            <w:tcW w:w="780" w:type="dxa"/>
            <w:vAlign w:val="bottom"/>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32</w:t>
            </w:r>
          </w:p>
        </w:tc>
        <w:tc>
          <w:tcPr>
            <w:tcW w:w="1080" w:type="dxa"/>
            <w:vAlign w:val="bottom"/>
          </w:tcPr>
          <w:p>
            <w:pPr>
              <w:spacing w:after="0"/>
              <w:rPr>
                <w:sz w:val="24"/>
                <w:szCs w:val="24"/>
                <w:color w:val="auto"/>
              </w:rPr>
            </w:pPr>
          </w:p>
        </w:tc>
      </w:tr>
      <w:tr>
        <w:trPr>
          <w:trHeight w:val="446"/>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32.</w:t>
            </w:r>
          </w:p>
        </w:tc>
        <w:tc>
          <w:tcPr>
            <w:tcW w:w="13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Severability</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w w:val="89"/>
              </w:rPr>
              <w:t>32</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5"/>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33.</w:t>
            </w: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Interpretation</w:t>
            </w:r>
          </w:p>
        </w:tc>
        <w:tc>
          <w:tcPr>
            <w:tcW w:w="780" w:type="dxa"/>
            <w:vAlign w:val="bottom"/>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33</w:t>
            </w:r>
          </w:p>
        </w:tc>
        <w:tc>
          <w:tcPr>
            <w:tcW w:w="1080" w:type="dxa"/>
            <w:vAlign w:val="bottom"/>
          </w:tcPr>
          <w:p>
            <w:pPr>
              <w:spacing w:after="0"/>
              <w:rPr>
                <w:sz w:val="24"/>
                <w:szCs w:val="24"/>
                <w:color w:val="auto"/>
              </w:rPr>
            </w:pPr>
          </w:p>
        </w:tc>
      </w:tr>
      <w:tr>
        <w:trPr>
          <w:trHeight w:val="446"/>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Section 34.</w:t>
            </w: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Affiliated Leases</w:t>
            </w:r>
          </w:p>
        </w:tc>
        <w:tc>
          <w:tcPr>
            <w:tcW w:w="780" w:type="dxa"/>
            <w:vAlign w:val="bottom"/>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33</w:t>
            </w:r>
          </w:p>
        </w:tc>
        <w:tc>
          <w:tcPr>
            <w:tcW w:w="10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Exhibit A</w:t>
            </w: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Real Property – Legal Description</w:t>
            </w:r>
          </w:p>
        </w:tc>
      </w:tr>
      <w:tr>
        <w:trPr>
          <w:trHeight w:val="318"/>
        </w:trPr>
        <w:tc>
          <w:tcPr>
            <w:tcW w:w="78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w w:val="98"/>
              </w:rPr>
              <w:t>Exhibit B</w:t>
            </w:r>
          </w:p>
        </w:tc>
        <w:tc>
          <w:tcPr>
            <w:tcW w:w="380" w:type="dxa"/>
            <w:vAlign w:val="bottom"/>
            <w:gridSpan w:val="4"/>
          </w:tcPr>
          <w:p>
            <w:pPr>
              <w:spacing w:after="0"/>
              <w:rPr>
                <w:sz w:val="24"/>
                <w:szCs w:val="24"/>
                <w:color w:val="auto"/>
              </w:rPr>
            </w:pPr>
          </w:p>
        </w:tc>
        <w:tc>
          <w:tcPr>
            <w:tcW w:w="660" w:type="dxa"/>
            <w:vAlign w:val="bottom"/>
          </w:tcPr>
          <w:p>
            <w:pPr>
              <w:jc w:val="right"/>
              <w:ind w:right="461"/>
              <w:spacing w:after="0"/>
              <w:rPr>
                <w:sz w:val="20"/>
                <w:szCs w:val="20"/>
                <w:color w:val="auto"/>
              </w:rPr>
            </w:pPr>
            <w:r>
              <w:rPr>
                <w:rFonts w:ascii="Times New Roman" w:cs="Times New Roman" w:eastAsia="Times New Roman" w:hAnsi="Times New Roman"/>
                <w:sz w:val="20"/>
                <w:szCs w:val="20"/>
                <w:color w:val="auto"/>
              </w:rPr>
              <w:t>-</w:t>
            </w:r>
          </w:p>
        </w:tc>
        <w:tc>
          <w:tcPr>
            <w:tcW w:w="3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Form of Deed</w:t>
            </w:r>
          </w:p>
        </w:tc>
      </w:tr>
      <w:tr>
        <w:trPr>
          <w:trHeight w:val="318"/>
        </w:trPr>
        <w:tc>
          <w:tcPr>
            <w:tcW w:w="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w w:val="98"/>
              </w:rPr>
              <w:t>Exhibit C</w:t>
            </w:r>
          </w:p>
        </w:tc>
        <w:tc>
          <w:tcPr>
            <w:tcW w:w="380" w:type="dxa"/>
            <w:vAlign w:val="bottom"/>
            <w:gridSpan w:val="4"/>
          </w:tcPr>
          <w:p>
            <w:pPr>
              <w:spacing w:after="0"/>
              <w:rPr>
                <w:sz w:val="24"/>
                <w:szCs w:val="24"/>
                <w:color w:val="auto"/>
              </w:rPr>
            </w:pPr>
          </w:p>
        </w:tc>
        <w:tc>
          <w:tcPr>
            <w:tcW w:w="660" w:type="dxa"/>
            <w:vAlign w:val="bottom"/>
          </w:tcPr>
          <w:p>
            <w:pPr>
              <w:jc w:val="right"/>
              <w:ind w:right="461"/>
              <w:spacing w:after="0"/>
              <w:rPr>
                <w:sz w:val="20"/>
                <w:szCs w:val="20"/>
                <w:color w:val="auto"/>
              </w:rPr>
            </w:pPr>
            <w:r>
              <w:rPr>
                <w:rFonts w:ascii="Times New Roman" w:cs="Times New Roman" w:eastAsia="Times New Roman" w:hAnsi="Times New Roman"/>
                <w:sz w:val="20"/>
                <w:szCs w:val="20"/>
                <w:color w:val="auto"/>
              </w:rPr>
              <w:t>-</w:t>
            </w:r>
          </w:p>
        </w:tc>
        <w:tc>
          <w:tcPr>
            <w:tcW w:w="3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Form of General Assignment</w:t>
            </w:r>
          </w:p>
        </w:tc>
      </w:tr>
      <w:tr>
        <w:trPr>
          <w:trHeight w:val="317"/>
        </w:trPr>
        <w:tc>
          <w:tcPr>
            <w:tcW w:w="11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Exhibit D</w:t>
            </w: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Form of Tenant Estoppel Certificate</w:t>
            </w:r>
          </w:p>
        </w:tc>
      </w:tr>
      <w:tr>
        <w:trPr>
          <w:trHeight w:val="318"/>
        </w:trPr>
        <w:tc>
          <w:tcPr>
            <w:tcW w:w="78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w w:val="99"/>
              </w:rPr>
              <w:t>Exhibit E</w:t>
            </w:r>
          </w:p>
        </w:tc>
        <w:tc>
          <w:tcPr>
            <w:tcW w:w="20" w:type="dxa"/>
            <w:vAlign w:val="bottom"/>
            <w:tcBorders>
              <w:bottom w:val="single" w:sz="8" w:color="auto"/>
            </w:tcBorders>
          </w:tcPr>
          <w:p>
            <w:pPr>
              <w:spacing w:after="0"/>
              <w:rPr>
                <w:sz w:val="24"/>
                <w:szCs w:val="24"/>
                <w:color w:val="auto"/>
              </w:rPr>
            </w:pPr>
          </w:p>
        </w:tc>
        <w:tc>
          <w:tcPr>
            <w:tcW w:w="360" w:type="dxa"/>
            <w:vAlign w:val="bottom"/>
            <w:gridSpan w:val="3"/>
          </w:tcPr>
          <w:p>
            <w:pPr>
              <w:spacing w:after="0"/>
              <w:rPr>
                <w:sz w:val="24"/>
                <w:szCs w:val="24"/>
                <w:color w:val="auto"/>
              </w:rPr>
            </w:pPr>
          </w:p>
        </w:tc>
        <w:tc>
          <w:tcPr>
            <w:tcW w:w="660" w:type="dxa"/>
            <w:vAlign w:val="bottom"/>
          </w:tcPr>
          <w:p>
            <w:pPr>
              <w:jc w:val="right"/>
              <w:ind w:right="461"/>
              <w:spacing w:after="0"/>
              <w:rPr>
                <w:sz w:val="20"/>
                <w:szCs w:val="20"/>
                <w:color w:val="auto"/>
              </w:rPr>
            </w:pPr>
            <w:r>
              <w:rPr>
                <w:rFonts w:ascii="Times New Roman" w:cs="Times New Roman" w:eastAsia="Times New Roman" w:hAnsi="Times New Roman"/>
                <w:sz w:val="20"/>
                <w:szCs w:val="20"/>
                <w:color w:val="auto"/>
              </w:rPr>
              <w:t>-</w:t>
            </w:r>
          </w:p>
        </w:tc>
        <w:tc>
          <w:tcPr>
            <w:tcW w:w="3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Form of Seller Estoppel Certificate</w:t>
            </w:r>
          </w:p>
        </w:tc>
      </w:tr>
      <w:tr>
        <w:trPr>
          <w:trHeight w:val="318"/>
        </w:trPr>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8"/>
              </w:rPr>
              <w:t>Exhibit F</w:t>
            </w:r>
          </w:p>
        </w:tc>
        <w:tc>
          <w:tcPr>
            <w:tcW w:w="400" w:type="dxa"/>
            <w:vAlign w:val="bottom"/>
            <w:gridSpan w:val="5"/>
          </w:tcPr>
          <w:p>
            <w:pPr>
              <w:spacing w:after="0"/>
              <w:rPr>
                <w:sz w:val="24"/>
                <w:szCs w:val="24"/>
                <w:color w:val="auto"/>
              </w:rPr>
            </w:pPr>
          </w:p>
        </w:tc>
        <w:tc>
          <w:tcPr>
            <w:tcW w:w="660" w:type="dxa"/>
            <w:vAlign w:val="bottom"/>
          </w:tcPr>
          <w:p>
            <w:pPr>
              <w:jc w:val="right"/>
              <w:ind w:right="461"/>
              <w:spacing w:after="0"/>
              <w:rPr>
                <w:sz w:val="20"/>
                <w:szCs w:val="20"/>
                <w:color w:val="auto"/>
              </w:rPr>
            </w:pPr>
            <w:r>
              <w:rPr>
                <w:rFonts w:ascii="Times New Roman" w:cs="Times New Roman" w:eastAsia="Times New Roman" w:hAnsi="Times New Roman"/>
                <w:sz w:val="20"/>
                <w:szCs w:val="20"/>
                <w:color w:val="auto"/>
              </w:rPr>
              <w:t>-</w:t>
            </w:r>
          </w:p>
        </w:tc>
        <w:tc>
          <w:tcPr>
            <w:tcW w:w="3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FIRPTA Affidavit</w:t>
            </w:r>
          </w:p>
        </w:tc>
      </w:tr>
      <w:tr>
        <w:trPr>
          <w:trHeight w:val="318"/>
        </w:trPr>
        <w:tc>
          <w:tcPr>
            <w:tcW w:w="8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w w:val="99"/>
              </w:rPr>
              <w:t>Exhibit G</w:t>
            </w:r>
          </w:p>
        </w:tc>
        <w:tc>
          <w:tcPr>
            <w:tcW w:w="360" w:type="dxa"/>
            <w:vAlign w:val="bottom"/>
            <w:gridSpan w:val="3"/>
          </w:tcPr>
          <w:p>
            <w:pPr>
              <w:spacing w:after="0"/>
              <w:rPr>
                <w:sz w:val="24"/>
                <w:szCs w:val="24"/>
                <w:color w:val="auto"/>
              </w:rPr>
            </w:pP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Form of Owner’s Affidavit</w:t>
            </w:r>
          </w:p>
        </w:tc>
      </w:tr>
      <w:tr>
        <w:trPr>
          <w:trHeight w:val="318"/>
        </w:trPr>
        <w:tc>
          <w:tcPr>
            <w:tcW w:w="11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Exhibit H</w:t>
            </w: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Form of Tenant Notice</w:t>
            </w:r>
          </w:p>
        </w:tc>
      </w:tr>
      <w:tr>
        <w:trPr>
          <w:trHeight w:val="318"/>
        </w:trPr>
        <w:tc>
          <w:tcPr>
            <w:tcW w:w="7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Exhibit I</w:t>
            </w:r>
          </w:p>
        </w:tc>
        <w:tc>
          <w:tcPr>
            <w:tcW w:w="380" w:type="dxa"/>
            <w:vAlign w:val="bottom"/>
            <w:gridSpan w:val="4"/>
          </w:tcPr>
          <w:p>
            <w:pPr>
              <w:spacing w:after="0"/>
              <w:rPr>
                <w:sz w:val="24"/>
                <w:szCs w:val="24"/>
                <w:color w:val="auto"/>
              </w:rPr>
            </w:pPr>
          </w:p>
        </w:tc>
        <w:tc>
          <w:tcPr>
            <w:tcW w:w="660" w:type="dxa"/>
            <w:vAlign w:val="bottom"/>
          </w:tcPr>
          <w:p>
            <w:pPr>
              <w:jc w:val="right"/>
              <w:ind w:right="461"/>
              <w:spacing w:after="0"/>
              <w:rPr>
                <w:sz w:val="20"/>
                <w:szCs w:val="20"/>
                <w:color w:val="auto"/>
              </w:rPr>
            </w:pPr>
            <w:r>
              <w:rPr>
                <w:rFonts w:ascii="Times New Roman" w:cs="Times New Roman" w:eastAsia="Times New Roman" w:hAnsi="Times New Roman"/>
                <w:sz w:val="20"/>
                <w:szCs w:val="20"/>
                <w:color w:val="auto"/>
              </w:rPr>
              <w:t>-</w:t>
            </w:r>
          </w:p>
        </w:tc>
        <w:tc>
          <w:tcPr>
            <w:tcW w:w="3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Form of Seller’s Closing Certificate</w:t>
            </w:r>
          </w:p>
        </w:tc>
      </w:tr>
      <w:tr>
        <w:trPr>
          <w:trHeight w:val="20"/>
        </w:trPr>
        <w:tc>
          <w:tcPr>
            <w:tcW w:w="700" w:type="dxa"/>
            <w:vAlign w:val="bottom"/>
            <w:shd w:val="clear" w:color="auto" w:fill="00000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318"/>
        </w:trPr>
        <w:tc>
          <w:tcPr>
            <w:tcW w:w="11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Schedule 5(a)</w:t>
            </w: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8"/>
              </w:rPr>
              <w:t>Unapplied Refundable Security Deposits</w:t>
            </w:r>
          </w:p>
        </w:tc>
      </w:tr>
      <w:tr>
        <w:trPr>
          <w:trHeight w:val="20"/>
        </w:trPr>
        <w:tc>
          <w:tcPr>
            <w:tcW w:w="1100" w:type="dxa"/>
            <w:vAlign w:val="bottom"/>
            <w:tcBorders>
              <w:right w:val="single" w:sz="8" w:color="auto"/>
            </w:tcBorders>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318"/>
        </w:trPr>
        <w:tc>
          <w:tcPr>
            <w:tcW w:w="11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auto"/>
                <w:w w:val="98"/>
              </w:rPr>
              <w:t>Schedule 5(b)</w:t>
            </w:r>
          </w:p>
        </w:tc>
        <w:tc>
          <w:tcPr>
            <w:tcW w:w="40" w:type="dxa"/>
            <w:vAlign w:val="bottom"/>
          </w:tcPr>
          <w:p>
            <w:pPr>
              <w:spacing w:after="0"/>
              <w:rPr>
                <w:sz w:val="24"/>
                <w:szCs w:val="24"/>
                <w:color w:val="auto"/>
              </w:rPr>
            </w:pP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Seller’s Leasing Costs</w:t>
            </w:r>
          </w:p>
        </w:tc>
      </w:tr>
      <w:tr>
        <w:trPr>
          <w:trHeight w:val="318"/>
        </w:trPr>
        <w:tc>
          <w:tcPr>
            <w:tcW w:w="11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w w:val="97"/>
              </w:rPr>
              <w:t>Schedule 5(f)</w:t>
            </w:r>
          </w:p>
        </w:tc>
        <w:tc>
          <w:tcPr>
            <w:tcW w:w="60" w:type="dxa"/>
            <w:vAlign w:val="bottom"/>
            <w:gridSpan w:val="2"/>
          </w:tcPr>
          <w:p>
            <w:pPr>
              <w:spacing w:after="0"/>
              <w:rPr>
                <w:sz w:val="24"/>
                <w:szCs w:val="24"/>
                <w:color w:val="auto"/>
              </w:rPr>
            </w:pP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Transaction Costs</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77" w:name="page178"/>
    <w:bookmarkEnd w:id="17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AGREEMENT FOR PURCHASE AND SALE</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 REAL PROPERTY</w:t>
      </w:r>
    </w:p>
    <w:p>
      <w:pPr>
        <w:spacing w:after="0" w:line="19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THIS AGREEMENT FOR PURCHASE AND SALE OF REAL PROPERTY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u w:val="single" w:color="auto"/>
          <w:color w:val="auto"/>
        </w:rPr>
        <w:t>Agreement</w:t>
      </w:r>
      <w:r>
        <w:rPr>
          <w:rFonts w:ascii="Times New Roman" w:cs="Times New Roman" w:eastAsia="Times New Roman" w:hAnsi="Times New Roman"/>
          <w:sz w:val="20"/>
          <w:szCs w:val="20"/>
          <w:color w:val="auto"/>
        </w:rPr>
        <w:t>”) is made as of this</w:t>
      </w:r>
      <w:r>
        <w:rPr>
          <w:rFonts w:ascii="Times New Roman" w:cs="Times New Roman" w:eastAsia="Times New Roman" w:hAnsi="Times New Roman"/>
          <w:sz w:val="20"/>
          <w:szCs w:val="20"/>
          <w:b w:val="1"/>
          <w:bCs w:val="1"/>
          <w:color w:val="auto"/>
        </w:rPr>
        <w:t xml:space="preserve"> November 20, 2024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u w:val="single" w:color="auto"/>
          <w:color w:val="auto"/>
        </w:rPr>
        <w:t>Effective Date</w:t>
      </w:r>
      <w:r>
        <w:rPr>
          <w:rFonts w:ascii="Times New Roman" w:cs="Times New Roman" w:eastAsia="Times New Roman" w:hAnsi="Times New Roman"/>
          <w:sz w:val="20"/>
          <w:szCs w:val="20"/>
          <w:color w:val="auto"/>
        </w:rPr>
        <w:t>”), by and between</w:t>
      </w:r>
      <w:r>
        <w:rPr>
          <w:rFonts w:ascii="Times New Roman" w:cs="Times New Roman" w:eastAsia="Times New Roman" w:hAnsi="Times New Roman"/>
          <w:sz w:val="20"/>
          <w:szCs w:val="20"/>
          <w:b w:val="1"/>
          <w:bCs w:val="1"/>
          <w:color w:val="auto"/>
        </w:rPr>
        <w:t xml:space="preserve"> BREIT SE INDUSTRIAL PROPCO NC LP</w:t>
      </w:r>
      <w:r>
        <w:rPr>
          <w:rFonts w:ascii="Times New Roman" w:cs="Times New Roman" w:eastAsia="Times New Roman" w:hAnsi="Times New Roman"/>
          <w:sz w:val="20"/>
          <w:szCs w:val="20"/>
          <w:color w:val="auto"/>
        </w:rPr>
        <w:t>, a Delaware limited partnership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color w:val="auto"/>
        </w:rPr>
        <w:t xml:space="preserve"> PROKIDNEY ACQUISITION COMPANY, LLC</w:t>
      </w:r>
      <w:r>
        <w:rPr>
          <w:rFonts w:ascii="Times New Roman" w:cs="Times New Roman" w:eastAsia="Times New Roman" w:hAnsi="Times New Roman"/>
          <w:sz w:val="20"/>
          <w:szCs w:val="20"/>
          <w:color w:val="auto"/>
        </w:rPr>
        <w:t>, a Delaware limited liability company (“</w:t>
      </w: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w:t>
      </w:r>
    </w:p>
    <w:p>
      <w:pPr>
        <w:spacing w:after="0" w:line="65"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color w:val="auto"/>
        </w:rPr>
        <w:t>FOR AND IN CONSIDERATION OF THE MUTUAL PROMISES SET FORTH HEREIN AND OTHER GOOD AND VALUABLE CONSIDERATION, THE RECEIPT AND SUFFICIENCY OF WHICH ARE HEREBY ACKNOWLEDGED, THE PARTIES HERETO AGREE AS FOLLOWS: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Section  </w:t>
      </w:r>
      <w:r>
        <w:rPr>
          <w:rFonts w:ascii="Times New Roman" w:cs="Times New Roman" w:eastAsia="Times New Roman" w:hAnsi="Times New Roman"/>
          <w:sz w:val="20"/>
          <w:szCs w:val="20"/>
          <w:b w:val="1"/>
          <w:bCs w:val="1"/>
          <w:color w:val="000000"/>
        </w:rPr>
        <w:t>Key Terms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5" w:lineRule="exact"/>
        <w:rPr>
          <w:sz w:val="20"/>
          <w:szCs w:val="20"/>
          <w:color w:val="auto"/>
        </w:rPr>
      </w:pPr>
    </w:p>
    <w:tbl>
      <w:tblPr>
        <w:tblLayout w:type="fixed"/>
        <w:tblInd w:w="1510" w:type="dxa"/>
        <w:tblCellMar>
          <w:top w:w="0" w:type="dxa"/>
          <w:left w:w="0" w:type="dxa"/>
          <w:bottom w:w="0" w:type="dxa"/>
          <w:right w:w="0" w:type="dxa"/>
        </w:tblCellMar>
      </w:tblPr>
      <w:tr>
        <w:trPr>
          <w:trHeight w:val="260"/>
        </w:trPr>
        <w:tc>
          <w:tcPr>
            <w:tcW w:w="30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“Purchase Price”</w:t>
            </w:r>
          </w:p>
        </w:tc>
        <w:tc>
          <w:tcPr>
            <w:tcW w:w="65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the sum of TWENTY-TWO MILLION FIVE HUNDRED THOUSAND and</w:t>
            </w:r>
          </w:p>
        </w:tc>
      </w:tr>
      <w:tr>
        <w:trPr>
          <w:trHeight w:val="262"/>
        </w:trPr>
        <w:tc>
          <w:tcPr>
            <w:tcW w:w="3040" w:type="dxa"/>
            <w:vAlign w:val="bottom"/>
            <w:tcBorders>
              <w:left w:val="single" w:sz="8" w:color="auto"/>
              <w:right w:val="single" w:sz="8" w:color="auto"/>
            </w:tcBorders>
          </w:tcPr>
          <w:p>
            <w:pPr>
              <w:spacing w:after="0"/>
              <w:rPr>
                <w:sz w:val="22"/>
                <w:szCs w:val="22"/>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 xml:space="preserve">NO/100 DOLLARS </w:t>
            </w:r>
            <w:r>
              <w:rPr>
                <w:rFonts w:ascii="Times New Roman" w:cs="Times New Roman" w:eastAsia="Times New Roman" w:hAnsi="Times New Roman"/>
                <w:sz w:val="20"/>
                <w:szCs w:val="20"/>
                <w:b w:val="1"/>
                <w:bCs w:val="1"/>
                <w:color w:val="auto"/>
              </w:rPr>
              <w:t>($22,500,000.00)</w:t>
            </w:r>
            <w:r>
              <w:rPr>
                <w:rFonts w:ascii="Times New Roman" w:cs="Times New Roman" w:eastAsia="Times New Roman" w:hAnsi="Times New Roman"/>
                <w:sz w:val="20"/>
                <w:szCs w:val="20"/>
                <w:color w:val="auto"/>
              </w:rPr>
              <w:t>, payable in cash at Closing</w:t>
            </w:r>
          </w:p>
        </w:tc>
      </w:tr>
      <w:tr>
        <w:trPr>
          <w:trHeight w:val="227"/>
        </w:trPr>
        <w:tc>
          <w:tcPr>
            <w:tcW w:w="3040" w:type="dxa"/>
            <w:vAlign w:val="bottom"/>
            <w:tcBorders>
              <w:left w:val="single" w:sz="8" w:color="auto"/>
              <w:bottom w:val="single" w:sz="8" w:color="auto"/>
              <w:right w:val="single" w:sz="8" w:color="auto"/>
            </w:tcBorders>
          </w:tcPr>
          <w:p>
            <w:pPr>
              <w:spacing w:after="0"/>
              <w:rPr>
                <w:sz w:val="19"/>
                <w:szCs w:val="19"/>
                <w:color w:val="auto"/>
              </w:rPr>
            </w:pPr>
          </w:p>
        </w:tc>
        <w:tc>
          <w:tcPr>
            <w:tcW w:w="6520" w:type="dxa"/>
            <w:vAlign w:val="bottom"/>
            <w:tcBorders>
              <w:bottom w:val="single" w:sz="8" w:color="auto"/>
              <w:right w:val="single" w:sz="8" w:color="auto"/>
            </w:tcBorders>
          </w:tcPr>
          <w:p>
            <w:pPr>
              <w:spacing w:after="0"/>
              <w:rPr>
                <w:sz w:val="19"/>
                <w:szCs w:val="19"/>
                <w:color w:val="auto"/>
              </w:rPr>
            </w:pPr>
          </w:p>
        </w:tc>
      </w:tr>
      <w:tr>
        <w:trPr>
          <w:trHeight w:val="224"/>
        </w:trPr>
        <w:tc>
          <w:tcPr>
            <w:tcW w:w="3040" w:type="dxa"/>
            <w:vAlign w:val="bottom"/>
            <w:tcBorders>
              <w:left w:val="single" w:sz="8" w:color="auto"/>
              <w:right w:val="single" w:sz="8" w:color="auto"/>
            </w:tcBorders>
          </w:tcPr>
          <w:p>
            <w:pPr>
              <w:ind w:left="120"/>
              <w:spacing w:after="0" w:line="224" w:lineRule="exact"/>
              <w:rPr>
                <w:sz w:val="20"/>
                <w:szCs w:val="20"/>
                <w:color w:val="auto"/>
              </w:rPr>
            </w:pPr>
            <w:r>
              <w:rPr>
                <w:rFonts w:ascii="Times New Roman" w:cs="Times New Roman" w:eastAsia="Times New Roman" w:hAnsi="Times New Roman"/>
                <w:sz w:val="20"/>
                <w:szCs w:val="20"/>
                <w:color w:val="auto"/>
              </w:rPr>
              <w:t>“Examination Period”</w:t>
            </w:r>
          </w:p>
        </w:tc>
        <w:tc>
          <w:tcPr>
            <w:tcW w:w="6520" w:type="dxa"/>
            <w:vAlign w:val="bottom"/>
            <w:tcBorders>
              <w:right w:val="single" w:sz="8" w:color="auto"/>
            </w:tcBorders>
          </w:tcPr>
          <w:p>
            <w:pPr>
              <w:ind w:left="100"/>
              <w:spacing w:after="0" w:line="224" w:lineRule="exact"/>
              <w:rPr>
                <w:sz w:val="20"/>
                <w:szCs w:val="20"/>
                <w:color w:val="auto"/>
              </w:rPr>
            </w:pPr>
            <w:r>
              <w:rPr>
                <w:rFonts w:ascii="Times New Roman" w:cs="Times New Roman" w:eastAsia="Times New Roman" w:hAnsi="Times New Roman"/>
                <w:sz w:val="20"/>
                <w:szCs w:val="20"/>
                <w:color w:val="auto"/>
              </w:rPr>
              <w:t xml:space="preserve">the period beginning on </w:t>
            </w:r>
            <w:r>
              <w:rPr>
                <w:rFonts w:ascii="Times New Roman" w:cs="Times New Roman" w:eastAsia="Times New Roman" w:hAnsi="Times New Roman"/>
                <w:sz w:val="20"/>
                <w:szCs w:val="20"/>
                <w:b w:val="1"/>
                <w:bCs w:val="1"/>
                <w:color w:val="auto"/>
              </w:rPr>
              <w:t>October 7, 2024</w:t>
            </w:r>
            <w:r>
              <w:rPr>
                <w:rFonts w:ascii="Times New Roman" w:cs="Times New Roman" w:eastAsia="Times New Roman" w:hAnsi="Times New Roman"/>
                <w:sz w:val="20"/>
                <w:szCs w:val="20"/>
                <w:color w:val="auto"/>
              </w:rPr>
              <w:t xml:space="preserve"> (the date that Buyer and Seller</w:t>
            </w:r>
          </w:p>
        </w:tc>
      </w:tr>
      <w:tr>
        <w:trPr>
          <w:trHeight w:val="226"/>
        </w:trPr>
        <w:tc>
          <w:tcPr>
            <w:tcW w:w="3040" w:type="dxa"/>
            <w:vAlign w:val="bottom"/>
            <w:tcBorders>
              <w:left w:val="single" w:sz="8" w:color="auto"/>
              <w:right w:val="single" w:sz="8" w:color="auto"/>
            </w:tcBorders>
          </w:tcPr>
          <w:p>
            <w:pPr>
              <w:spacing w:after="0"/>
              <w:rPr>
                <w:sz w:val="19"/>
                <w:szCs w:val="19"/>
                <w:color w:val="auto"/>
              </w:rPr>
            </w:pPr>
          </w:p>
        </w:tc>
        <w:tc>
          <w:tcPr>
            <w:tcW w:w="6520" w:type="dxa"/>
            <w:vAlign w:val="bottom"/>
            <w:tcBorders>
              <w:right w:val="single" w:sz="8" w:color="auto"/>
            </w:tcBorders>
          </w:tcPr>
          <w:p>
            <w:pPr>
              <w:ind w:left="100"/>
              <w:spacing w:after="0" w:line="226" w:lineRule="exact"/>
              <w:rPr>
                <w:sz w:val="20"/>
                <w:szCs w:val="20"/>
                <w:color w:val="auto"/>
              </w:rPr>
            </w:pPr>
            <w:r>
              <w:rPr>
                <w:rFonts w:ascii="Times New Roman" w:cs="Times New Roman" w:eastAsia="Times New Roman" w:hAnsi="Times New Roman"/>
                <w:sz w:val="20"/>
                <w:szCs w:val="20"/>
                <w:color w:val="auto"/>
              </w:rPr>
              <w:t>executed the Access Agreement (as hereinafter defined)), and extending until</w:t>
            </w:r>
          </w:p>
        </w:tc>
      </w:tr>
      <w:tr>
        <w:trPr>
          <w:trHeight w:val="262"/>
        </w:trPr>
        <w:tc>
          <w:tcPr>
            <w:tcW w:w="3040" w:type="dxa"/>
            <w:vAlign w:val="bottom"/>
            <w:tcBorders>
              <w:left w:val="single" w:sz="8" w:color="auto"/>
              <w:right w:val="single" w:sz="8" w:color="auto"/>
            </w:tcBorders>
          </w:tcPr>
          <w:p>
            <w:pPr>
              <w:spacing w:after="0"/>
              <w:rPr>
                <w:sz w:val="22"/>
                <w:szCs w:val="22"/>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 xml:space="preserve">5:00 p.m. (New York, New York time) on </w:t>
            </w:r>
            <w:r>
              <w:rPr>
                <w:rFonts w:ascii="Times New Roman" w:cs="Times New Roman" w:eastAsia="Times New Roman" w:hAnsi="Times New Roman"/>
                <w:sz w:val="20"/>
                <w:szCs w:val="20"/>
                <w:b w:val="1"/>
                <w:bCs w:val="1"/>
                <w:color w:val="auto"/>
              </w:rPr>
              <w:t>November 20, 2024.</w:t>
            </w:r>
          </w:p>
        </w:tc>
      </w:tr>
      <w:tr>
        <w:trPr>
          <w:trHeight w:val="210"/>
        </w:trPr>
        <w:tc>
          <w:tcPr>
            <w:tcW w:w="3040" w:type="dxa"/>
            <w:vAlign w:val="bottom"/>
            <w:tcBorders>
              <w:left w:val="single" w:sz="8" w:color="auto"/>
              <w:bottom w:val="single" w:sz="8" w:color="auto"/>
              <w:right w:val="single" w:sz="8" w:color="auto"/>
            </w:tcBorders>
          </w:tcPr>
          <w:p>
            <w:pPr>
              <w:spacing w:after="0"/>
              <w:rPr>
                <w:sz w:val="18"/>
                <w:szCs w:val="18"/>
                <w:color w:val="auto"/>
              </w:rPr>
            </w:pPr>
          </w:p>
        </w:tc>
        <w:tc>
          <w:tcPr>
            <w:tcW w:w="6520" w:type="dxa"/>
            <w:vAlign w:val="bottom"/>
            <w:tcBorders>
              <w:bottom w:val="single" w:sz="8" w:color="auto"/>
              <w:right w:val="single" w:sz="8" w:color="auto"/>
            </w:tcBorders>
          </w:tcPr>
          <w:p>
            <w:pPr>
              <w:spacing w:after="0"/>
              <w:rPr>
                <w:sz w:val="18"/>
                <w:szCs w:val="18"/>
                <w:color w:val="auto"/>
              </w:rPr>
            </w:pPr>
          </w:p>
        </w:tc>
      </w:tr>
      <w:tr>
        <w:trPr>
          <w:trHeight w:val="241"/>
        </w:trPr>
        <w:tc>
          <w:tcPr>
            <w:tcW w:w="30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“Closing Date”</w:t>
            </w: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 xml:space="preserve">the actual date of Closing, which shall occur on </w:t>
            </w:r>
            <w:r>
              <w:rPr>
                <w:rFonts w:ascii="Times New Roman" w:cs="Times New Roman" w:eastAsia="Times New Roman" w:hAnsi="Times New Roman"/>
                <w:sz w:val="20"/>
                <w:szCs w:val="20"/>
                <w:b w:val="1"/>
                <w:bCs w:val="1"/>
                <w:color w:val="auto"/>
              </w:rPr>
              <w:t>November 26, 2024</w:t>
            </w:r>
            <w:r>
              <w:rPr>
                <w:rFonts w:ascii="Times New Roman" w:cs="Times New Roman" w:eastAsia="Times New Roman" w:hAnsi="Times New Roman"/>
                <w:sz w:val="20"/>
                <w:szCs w:val="20"/>
                <w:color w:val="auto"/>
              </w:rPr>
              <w:t>, or such</w:t>
            </w:r>
          </w:p>
        </w:tc>
      </w:tr>
      <w:tr>
        <w:trPr>
          <w:trHeight w:val="258"/>
        </w:trPr>
        <w:tc>
          <w:tcPr>
            <w:tcW w:w="3040" w:type="dxa"/>
            <w:vAlign w:val="bottom"/>
            <w:tcBorders>
              <w:left w:val="single" w:sz="8" w:color="auto"/>
              <w:right w:val="single" w:sz="8" w:color="auto"/>
            </w:tcBorders>
          </w:tcPr>
          <w:p>
            <w:pPr>
              <w:spacing w:after="0"/>
              <w:rPr>
                <w:sz w:val="22"/>
                <w:szCs w:val="22"/>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earlier date as may be agreed upon by Buyer and Seller in writing.</w:t>
            </w:r>
          </w:p>
        </w:tc>
      </w:tr>
      <w:tr>
        <w:trPr>
          <w:trHeight w:val="210"/>
        </w:trPr>
        <w:tc>
          <w:tcPr>
            <w:tcW w:w="3040" w:type="dxa"/>
            <w:vAlign w:val="bottom"/>
            <w:tcBorders>
              <w:left w:val="single" w:sz="8" w:color="auto"/>
              <w:bottom w:val="single" w:sz="8" w:color="auto"/>
              <w:right w:val="single" w:sz="8" w:color="auto"/>
            </w:tcBorders>
          </w:tcPr>
          <w:p>
            <w:pPr>
              <w:spacing w:after="0"/>
              <w:rPr>
                <w:sz w:val="18"/>
                <w:szCs w:val="18"/>
                <w:color w:val="auto"/>
              </w:rPr>
            </w:pPr>
          </w:p>
        </w:tc>
        <w:tc>
          <w:tcPr>
            <w:tcW w:w="6520" w:type="dxa"/>
            <w:vAlign w:val="bottom"/>
            <w:tcBorders>
              <w:bottom w:val="single" w:sz="8" w:color="auto"/>
              <w:right w:val="single" w:sz="8" w:color="auto"/>
            </w:tcBorders>
          </w:tcPr>
          <w:p>
            <w:pPr>
              <w:spacing w:after="0"/>
              <w:rPr>
                <w:sz w:val="18"/>
                <w:szCs w:val="18"/>
                <w:color w:val="auto"/>
              </w:rPr>
            </w:pPr>
          </w:p>
        </w:tc>
      </w:tr>
      <w:tr>
        <w:trPr>
          <w:trHeight w:val="241"/>
        </w:trPr>
        <w:tc>
          <w:tcPr>
            <w:tcW w:w="30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“Earnest Money”</w:t>
            </w: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the Initial Earnest Money and, to the extent deposited, the Additional Earnest</w:t>
            </w:r>
          </w:p>
        </w:tc>
      </w:tr>
      <w:tr>
        <w:trPr>
          <w:trHeight w:val="258"/>
        </w:trPr>
        <w:tc>
          <w:tcPr>
            <w:tcW w:w="3040" w:type="dxa"/>
            <w:vAlign w:val="bottom"/>
            <w:tcBorders>
              <w:left w:val="single" w:sz="8" w:color="auto"/>
              <w:right w:val="single" w:sz="8" w:color="auto"/>
            </w:tcBorders>
          </w:tcPr>
          <w:p>
            <w:pPr>
              <w:spacing w:after="0"/>
              <w:rPr>
                <w:sz w:val="22"/>
                <w:szCs w:val="22"/>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Money</w:t>
            </w:r>
          </w:p>
        </w:tc>
      </w:tr>
      <w:tr>
        <w:trPr>
          <w:trHeight w:val="210"/>
        </w:trPr>
        <w:tc>
          <w:tcPr>
            <w:tcW w:w="3040" w:type="dxa"/>
            <w:vAlign w:val="bottom"/>
            <w:tcBorders>
              <w:left w:val="single" w:sz="8" w:color="auto"/>
              <w:bottom w:val="single" w:sz="8" w:color="auto"/>
              <w:right w:val="single" w:sz="8" w:color="auto"/>
            </w:tcBorders>
          </w:tcPr>
          <w:p>
            <w:pPr>
              <w:spacing w:after="0"/>
              <w:rPr>
                <w:sz w:val="18"/>
                <w:szCs w:val="18"/>
                <w:color w:val="auto"/>
              </w:rPr>
            </w:pPr>
          </w:p>
        </w:tc>
        <w:tc>
          <w:tcPr>
            <w:tcW w:w="6520" w:type="dxa"/>
            <w:vAlign w:val="bottom"/>
            <w:tcBorders>
              <w:bottom w:val="single" w:sz="8" w:color="auto"/>
              <w:right w:val="single" w:sz="8" w:color="auto"/>
            </w:tcBorders>
          </w:tcPr>
          <w:p>
            <w:pPr>
              <w:spacing w:after="0"/>
              <w:rPr>
                <w:sz w:val="18"/>
                <w:szCs w:val="18"/>
                <w:color w:val="auto"/>
              </w:rPr>
            </w:pPr>
          </w:p>
        </w:tc>
      </w:tr>
      <w:tr>
        <w:trPr>
          <w:trHeight w:val="237"/>
        </w:trPr>
        <w:tc>
          <w:tcPr>
            <w:tcW w:w="30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“Initial Earnest Money”</w:t>
            </w: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FIVE HUNDRED SIXTY-TWO THOUSAND FIVE HUNDRED and NO/100</w:t>
            </w:r>
          </w:p>
        </w:tc>
      </w:tr>
      <w:tr>
        <w:trPr>
          <w:trHeight w:val="262"/>
        </w:trPr>
        <w:tc>
          <w:tcPr>
            <w:tcW w:w="3040" w:type="dxa"/>
            <w:vAlign w:val="bottom"/>
            <w:tcBorders>
              <w:left w:val="single" w:sz="8" w:color="auto"/>
              <w:right w:val="single" w:sz="8" w:color="auto"/>
            </w:tcBorders>
          </w:tcPr>
          <w:p>
            <w:pPr>
              <w:spacing w:after="0"/>
              <w:rPr>
                <w:sz w:val="22"/>
                <w:szCs w:val="22"/>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 xml:space="preserve">DOLLARS </w:t>
            </w:r>
            <w:r>
              <w:rPr>
                <w:rFonts w:ascii="Times New Roman" w:cs="Times New Roman" w:eastAsia="Times New Roman" w:hAnsi="Times New Roman"/>
                <w:sz w:val="20"/>
                <w:szCs w:val="20"/>
                <w:b w:val="1"/>
                <w:bCs w:val="1"/>
                <w:color w:val="auto"/>
              </w:rPr>
              <w:t>($562,500)</w:t>
            </w:r>
            <w:r>
              <w:rPr>
                <w:rFonts w:ascii="Times New Roman" w:cs="Times New Roman" w:eastAsia="Times New Roman" w:hAnsi="Times New Roman"/>
                <w:sz w:val="20"/>
                <w:szCs w:val="20"/>
                <w:color w:val="auto"/>
              </w:rPr>
              <w:t xml:space="preserve"> (together with all interest accrued thereon).</w:t>
            </w:r>
          </w:p>
        </w:tc>
      </w:tr>
      <w:tr>
        <w:trPr>
          <w:trHeight w:val="210"/>
        </w:trPr>
        <w:tc>
          <w:tcPr>
            <w:tcW w:w="3040" w:type="dxa"/>
            <w:vAlign w:val="bottom"/>
            <w:tcBorders>
              <w:left w:val="single" w:sz="8" w:color="auto"/>
              <w:bottom w:val="single" w:sz="8" w:color="auto"/>
              <w:right w:val="single" w:sz="8" w:color="auto"/>
            </w:tcBorders>
          </w:tcPr>
          <w:p>
            <w:pPr>
              <w:spacing w:after="0"/>
              <w:rPr>
                <w:sz w:val="18"/>
                <w:szCs w:val="18"/>
                <w:color w:val="auto"/>
              </w:rPr>
            </w:pPr>
          </w:p>
        </w:tc>
        <w:tc>
          <w:tcPr>
            <w:tcW w:w="6520" w:type="dxa"/>
            <w:vAlign w:val="bottom"/>
            <w:tcBorders>
              <w:bottom w:val="single" w:sz="8" w:color="auto"/>
              <w:right w:val="single" w:sz="8" w:color="auto"/>
            </w:tcBorders>
          </w:tcPr>
          <w:p>
            <w:pPr>
              <w:spacing w:after="0"/>
              <w:rPr>
                <w:sz w:val="18"/>
                <w:szCs w:val="18"/>
                <w:color w:val="auto"/>
              </w:rPr>
            </w:pPr>
          </w:p>
        </w:tc>
      </w:tr>
      <w:tr>
        <w:trPr>
          <w:trHeight w:val="237"/>
        </w:trPr>
        <w:tc>
          <w:tcPr>
            <w:tcW w:w="30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“Additional Earnest Money”</w:t>
            </w: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FIVE HUNDRED SIXTY-TWO THOUSAND FIVE HUNDRED and NO/100</w:t>
            </w:r>
          </w:p>
        </w:tc>
      </w:tr>
      <w:tr>
        <w:trPr>
          <w:trHeight w:val="262"/>
        </w:trPr>
        <w:tc>
          <w:tcPr>
            <w:tcW w:w="3040" w:type="dxa"/>
            <w:vAlign w:val="bottom"/>
            <w:tcBorders>
              <w:left w:val="single" w:sz="8" w:color="auto"/>
              <w:right w:val="single" w:sz="8" w:color="auto"/>
            </w:tcBorders>
          </w:tcPr>
          <w:p>
            <w:pPr>
              <w:spacing w:after="0"/>
              <w:rPr>
                <w:sz w:val="22"/>
                <w:szCs w:val="22"/>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 xml:space="preserve">DOLLARS </w:t>
            </w:r>
            <w:r>
              <w:rPr>
                <w:rFonts w:ascii="Times New Roman" w:cs="Times New Roman" w:eastAsia="Times New Roman" w:hAnsi="Times New Roman"/>
                <w:sz w:val="20"/>
                <w:szCs w:val="20"/>
                <w:b w:val="1"/>
                <w:bCs w:val="1"/>
                <w:color w:val="auto"/>
              </w:rPr>
              <w:t>($562,500)</w:t>
            </w:r>
            <w:r>
              <w:rPr>
                <w:rFonts w:ascii="Times New Roman" w:cs="Times New Roman" w:eastAsia="Times New Roman" w:hAnsi="Times New Roman"/>
                <w:sz w:val="20"/>
                <w:szCs w:val="20"/>
                <w:color w:val="auto"/>
              </w:rPr>
              <w:t xml:space="preserve"> (together with all interest accrued thereon).</w:t>
            </w:r>
          </w:p>
        </w:tc>
      </w:tr>
      <w:tr>
        <w:trPr>
          <w:trHeight w:val="210"/>
        </w:trPr>
        <w:tc>
          <w:tcPr>
            <w:tcW w:w="3040" w:type="dxa"/>
            <w:vAlign w:val="bottom"/>
            <w:tcBorders>
              <w:left w:val="single" w:sz="8" w:color="auto"/>
              <w:bottom w:val="single" w:sz="8" w:color="auto"/>
              <w:right w:val="single" w:sz="8" w:color="auto"/>
            </w:tcBorders>
          </w:tcPr>
          <w:p>
            <w:pPr>
              <w:spacing w:after="0"/>
              <w:rPr>
                <w:sz w:val="18"/>
                <w:szCs w:val="18"/>
                <w:color w:val="auto"/>
              </w:rPr>
            </w:pPr>
          </w:p>
        </w:tc>
        <w:tc>
          <w:tcPr>
            <w:tcW w:w="6520" w:type="dxa"/>
            <w:vAlign w:val="bottom"/>
            <w:tcBorders>
              <w:bottom w:val="single" w:sz="8" w:color="auto"/>
              <w:right w:val="single" w:sz="8" w:color="auto"/>
            </w:tcBorders>
          </w:tcPr>
          <w:p>
            <w:pPr>
              <w:spacing w:after="0"/>
              <w:rPr>
                <w:sz w:val="18"/>
                <w:szCs w:val="18"/>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Section  </w:t>
      </w:r>
      <w:r>
        <w:rPr>
          <w:rFonts w:ascii="Times New Roman" w:cs="Times New Roman" w:eastAsia="Times New Roman" w:hAnsi="Times New Roman"/>
          <w:sz w:val="20"/>
          <w:szCs w:val="20"/>
          <w:b w:val="1"/>
          <w:bCs w:val="1"/>
          <w:color w:val="000000"/>
        </w:rPr>
        <w:t>Terms and Definitions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2.</w:t>
      </w:r>
    </w:p>
    <w:p>
      <w:pPr>
        <w:spacing w:after="0" w:line="194" w:lineRule="exact"/>
        <w:rPr>
          <w:sz w:val="20"/>
          <w:szCs w:val="20"/>
          <w:color w:val="auto"/>
        </w:rPr>
      </w:pPr>
    </w:p>
    <w:p>
      <w:pPr>
        <w:ind w:left="180" w:hanging="172"/>
        <w:spacing w:after="0"/>
        <w:tabs>
          <w:tab w:leader="none" w:pos="18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terms listed below shall have the respective meaning given them as set forth adjacent to each term.</w:t>
      </w:r>
    </w:p>
    <w:p>
      <w:pPr>
        <w:spacing w:after="0" w:line="211" w:lineRule="exact"/>
        <w:rPr>
          <w:rFonts w:ascii="Times New Roman" w:cs="Times New Roman" w:eastAsia="Times New Roman" w:hAnsi="Times New Roman"/>
          <w:sz w:val="20"/>
          <w:szCs w:val="20"/>
          <w:b w:val="1"/>
          <w:bCs w:val="1"/>
          <w:color w:val="auto"/>
        </w:rPr>
      </w:pPr>
    </w:p>
    <w:p>
      <w:pPr>
        <w:ind w:left="1500" w:hanging="369"/>
        <w:spacing w:after="0" w:line="273" w:lineRule="auto"/>
        <w:tabs>
          <w:tab w:leader="none" w:pos="1500" w:val="left"/>
        </w:tabs>
        <w:numPr>
          <w:ilvl w:val="1"/>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“Allocated Property Values”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mean the value allocated among the Properties pursuant to allocations determined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Buyer and approved by Seller (which approval shall not be unreasonably withheld, conditioned or delayed).</w:t>
      </w:r>
    </w:p>
    <w:p>
      <w:pPr>
        <w:spacing w:after="0" w:line="151" w:lineRule="exact"/>
        <w:rPr>
          <w:rFonts w:ascii="Times New Roman" w:cs="Times New Roman" w:eastAsia="Times New Roman" w:hAnsi="Times New Roman"/>
          <w:sz w:val="20"/>
          <w:szCs w:val="20"/>
          <w:color w:val="010000"/>
        </w:rPr>
      </w:pPr>
    </w:p>
    <w:p>
      <w:pPr>
        <w:ind w:left="1500" w:hanging="369"/>
        <w:spacing w:after="0"/>
        <w:tabs>
          <w:tab w:leader="none" w:pos="1500" w:val="left"/>
        </w:tabs>
        <w:numPr>
          <w:ilvl w:val="1"/>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“Additional Earnest Money”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have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8" w:name="page179"/>
    <w:bookmarkEnd w:id="178"/>
    <w:p>
      <w:pPr>
        <w:ind w:left="1460" w:hanging="369"/>
        <w:spacing w:after="0"/>
        <w:tabs>
          <w:tab w:leader="none" w:pos="1460"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“Additional Rent”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5(a)(i)(1)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jc w:val="both"/>
        <w:ind w:left="1460" w:hanging="369"/>
        <w:spacing w:after="0" w:line="246" w:lineRule="auto"/>
        <w:tabs>
          <w:tab w:leader="none" w:pos="1460"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“Affiliate” or “Affiliates”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mean any Person, from time to time, that directly or indirectly through one or more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intermediaries, controls, is controlled by or is under common control with another Person. For purposes of this Agreement, the term “control” shall mean the possession, direct or indirect, of the power to direct or cause the direction of the management and policies of a Person, whether through the ownership of voting securities, by contract or otherwise, and shall in any event include the ownership or power to vote fifty percent (50%) or more of the outstanding equity or voting interests, respectively, of such other Person.</w:t>
      </w:r>
    </w:p>
    <w:p>
      <w:pPr>
        <w:spacing w:after="0" w:line="178" w:lineRule="exact"/>
        <w:rPr>
          <w:rFonts w:ascii="Times New Roman" w:cs="Times New Roman" w:eastAsia="Times New Roman" w:hAnsi="Times New Roman"/>
          <w:sz w:val="20"/>
          <w:szCs w:val="20"/>
          <w:color w:val="010000"/>
        </w:rPr>
      </w:pPr>
    </w:p>
    <w:p>
      <w:pPr>
        <w:jc w:val="both"/>
        <w:ind w:left="1460" w:hanging="369"/>
        <w:spacing w:after="0" w:line="256" w:lineRule="auto"/>
        <w:tabs>
          <w:tab w:leader="none" w:pos="1460"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“Asset File”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mean the materials with respect to the Properties previously delivered to Buyer or its representatives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on behalf of Seller or made available to Buyer at the Property, at the offices of Seller or Seller’s Broker or attorney or on an online data website.</w:t>
      </w:r>
    </w:p>
    <w:p>
      <w:pPr>
        <w:spacing w:after="0" w:line="168"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“Base Rent”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5(a)(i)(1)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ind w:left="1460" w:right="20" w:hanging="369"/>
        <w:spacing w:after="0" w:line="273" w:lineRule="auto"/>
        <w:tabs>
          <w:tab w:leader="none" w:pos="1460"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“Business 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“business 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any day other than Saturday, Sunday or any federal legal holiday on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national banks are not open for general business in the State of North Carolina.</w:t>
      </w:r>
    </w:p>
    <w:p>
      <w:pPr>
        <w:spacing w:after="0" w:line="151"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Buyer’s Broker</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b w:val="1"/>
          <w:bCs w:val="1"/>
          <w:color w:val="auto"/>
        </w:rPr>
        <w:t>CBRE, Inc</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“Buyer’s Leasing Costs”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jc w:val="both"/>
        <w:ind w:left="1460" w:hanging="369"/>
        <w:spacing w:after="0" w:line="247" w:lineRule="auto"/>
        <w:tabs>
          <w:tab w:leader="none" w:pos="1460"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“Buyer’s Knowledge”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mean the actual knowledge of Buyer and/or any Affiliate of Buyer, which shall also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to include, any matter disclosed (i) in any exhibit or schedule to this Agreement, (ii) in the Asset File or any other document or written materials provided by or on behalf of Seller to Buyer prior to the Closing, (iii) in due diligence reports or inspections obtained by Buyer, (iv) in an estoppel certificate delivered to Buyer or (v) in writing by Seller (or Seller’s counsel) to Buyer (or Buyer’s counsel).</w:t>
      </w:r>
    </w:p>
    <w:p>
      <w:pPr>
        <w:spacing w:after="0" w:line="180"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“Buyer’s Notice Address”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as follows, except as the same may be changed pursuant to the Notice section herein:</w:t>
      </w:r>
    </w:p>
    <w:p>
      <w:pPr>
        <w:spacing w:after="0" w:line="219" w:lineRule="exact"/>
        <w:rPr>
          <w:rFonts w:ascii="Times New Roman" w:cs="Times New Roman" w:eastAsia="Times New Roman" w:hAnsi="Times New Roman"/>
          <w:sz w:val="20"/>
          <w:szCs w:val="20"/>
          <w:color w:val="010000"/>
        </w:rPr>
      </w:pPr>
    </w:p>
    <w:p>
      <w:pPr>
        <w:ind w:left="14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ProKidney, LLC</w:t>
      </w:r>
    </w:p>
    <w:p>
      <w:pPr>
        <w:spacing w:after="0" w:line="21" w:lineRule="exact"/>
        <w:rPr>
          <w:rFonts w:ascii="Times New Roman" w:cs="Times New Roman" w:eastAsia="Times New Roman" w:hAnsi="Times New Roman"/>
          <w:sz w:val="20"/>
          <w:szCs w:val="20"/>
          <w:color w:val="010000"/>
        </w:rPr>
      </w:pPr>
    </w:p>
    <w:p>
      <w:pPr>
        <w:ind w:left="1460" w:right="7260"/>
        <w:spacing w:after="0" w:line="239" w:lineRule="auto"/>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399 Boylston Street., Suite 350 Boston, MA 02116</w:t>
      </w:r>
    </w:p>
    <w:p>
      <w:pPr>
        <w:ind w:left="14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Attn: Nikhil Pereira-Kamath</w:t>
      </w:r>
    </w:p>
    <w:p>
      <w:pPr>
        <w:ind w:left="1460" w:right="6620"/>
        <w:spacing w:after="0" w:line="492" w:lineRule="auto"/>
        <w:rPr>
          <w:rFonts w:ascii="Times New Roman" w:cs="Times New Roman" w:eastAsia="Times New Roman" w:hAnsi="Times New Roman"/>
          <w:sz w:val="20"/>
          <w:szCs w:val="20"/>
          <w:color w:val="010000"/>
        </w:rPr>
      </w:pPr>
      <w:r>
        <w:rPr>
          <w:rFonts w:ascii="Times New Roman" w:cs="Times New Roman" w:eastAsia="Times New Roman" w:hAnsi="Times New Roman"/>
          <w:sz w:val="19"/>
          <w:szCs w:val="19"/>
          <w:color w:val="auto"/>
        </w:rPr>
        <w:t>Email: Nikhil.Pereira@ProKidney.com with a copy to:</w:t>
      </w:r>
    </w:p>
    <w:p>
      <w:pPr>
        <w:ind w:left="14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ProKidney Corp.</w:t>
      </w:r>
    </w:p>
    <w:p>
      <w:pPr>
        <w:spacing w:after="0" w:line="21" w:lineRule="exact"/>
        <w:rPr>
          <w:rFonts w:ascii="Times New Roman" w:cs="Times New Roman" w:eastAsia="Times New Roman" w:hAnsi="Times New Roman"/>
          <w:sz w:val="20"/>
          <w:szCs w:val="20"/>
          <w:color w:val="010000"/>
        </w:rPr>
      </w:pPr>
    </w:p>
    <w:p>
      <w:pPr>
        <w:ind w:left="1460" w:right="6960"/>
        <w:spacing w:after="0" w:line="239" w:lineRule="auto"/>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2000 Frontis Plaza Blvd, Suite 250 Winston Salem, NC 27103</w:t>
      </w:r>
    </w:p>
    <w:p>
      <w:pPr>
        <w:ind w:left="1460" w:right="6560"/>
        <w:spacing w:after="0" w:line="261" w:lineRule="auto"/>
        <w:rPr>
          <w:rFonts w:ascii="Times New Roman" w:cs="Times New Roman" w:eastAsia="Times New Roman" w:hAnsi="Times New Roman"/>
          <w:sz w:val="20"/>
          <w:szCs w:val="20"/>
          <w:color w:val="010000"/>
        </w:rPr>
      </w:pPr>
      <w:r>
        <w:rPr>
          <w:rFonts w:ascii="Times New Roman" w:cs="Times New Roman" w:eastAsia="Times New Roman" w:hAnsi="Times New Roman"/>
          <w:sz w:val="19"/>
          <w:szCs w:val="19"/>
          <w:color w:val="auto"/>
        </w:rPr>
        <w:t>Attn: Todd Girolamo, Esq. Chief Legal Officer Email:Todd.Girolamo@ProKidney.com</w:t>
      </w:r>
    </w:p>
    <w:p>
      <w:pPr>
        <w:spacing w:after="0" w:line="16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“Claims”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09" w:right="339" w:bottom="1440" w:gutter="0" w:footer="0" w:header="0"/>
        </w:sectPr>
      </w:pPr>
    </w:p>
    <w:bookmarkStart w:id="179" w:name="page180"/>
    <w:bookmarkEnd w:id="179"/>
    <w:p>
      <w:pPr>
        <w:ind w:left="1460" w:hanging="369"/>
        <w:spacing w:after="0"/>
        <w:tabs>
          <w:tab w:leader="none" w:pos="1460"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“Claim Cap”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15(c)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“Closing”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mean the consummation of the transactions contemplated by this Agreement.</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“Closing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have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“Confidentiality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have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26(a)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ind w:left="1460" w:hanging="369"/>
        <w:spacing w:after="0" w:line="273" w:lineRule="auto"/>
        <w:tabs>
          <w:tab w:leader="none" w:pos="1460"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“Contracts”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mean those certain contracts or agreements to which Seller is a party affecting the Property delivered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 of the Asset File or entered into by Seller in accordance with this Agreement.</w:t>
      </w:r>
    </w:p>
    <w:p>
      <w:pPr>
        <w:spacing w:after="0" w:line="151"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“Deed”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14(a)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“Demand”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“Earnest Money”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have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ind w:left="1460" w:hanging="369"/>
        <w:spacing w:after="0" w:line="273" w:lineRule="auto"/>
        <w:tabs>
          <w:tab w:leader="none" w:pos="1460"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“Escrow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mean Stewart Title Guaranty Company, at its offices at One Washington Mall, Suite 1400, Boston,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 02108, Attention: Marcello Ciaramitaro, Tel: (617) 933-2437, Email: Marcello.Ciaramitaro@stewart.com.</w:t>
      </w:r>
    </w:p>
    <w:p>
      <w:pPr>
        <w:spacing w:after="0" w:line="155" w:lineRule="exact"/>
        <w:rPr>
          <w:rFonts w:ascii="Times New Roman" w:cs="Times New Roman" w:eastAsia="Times New Roman" w:hAnsi="Times New Roman"/>
          <w:sz w:val="20"/>
          <w:szCs w:val="20"/>
          <w:color w:val="010000"/>
        </w:rPr>
      </w:pPr>
    </w:p>
    <w:p>
      <w:pPr>
        <w:ind w:left="1460" w:right="8080"/>
        <w:spacing w:after="0" w:line="504" w:lineRule="auto"/>
        <w:rPr>
          <w:rFonts w:ascii="Times New Roman" w:cs="Times New Roman" w:eastAsia="Times New Roman" w:hAnsi="Times New Roman"/>
          <w:sz w:val="20"/>
          <w:szCs w:val="20"/>
          <w:color w:val="010000"/>
        </w:rPr>
      </w:pPr>
      <w:r>
        <w:rPr>
          <w:rFonts w:ascii="Times New Roman" w:cs="Times New Roman" w:eastAsia="Times New Roman" w:hAnsi="Times New Roman"/>
          <w:sz w:val="19"/>
          <w:szCs w:val="19"/>
          <w:u w:val="single" w:color="auto"/>
          <w:color w:val="auto"/>
        </w:rPr>
        <w:t>Contact information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If to Title Insurer</w:t>
      </w:r>
      <w:r>
        <w:rPr>
          <w:rFonts w:ascii="Times New Roman" w:cs="Times New Roman" w:eastAsia="Times New Roman" w:hAnsi="Times New Roman"/>
          <w:sz w:val="19"/>
          <w:szCs w:val="19"/>
          <w:color w:val="auto"/>
        </w:rPr>
        <w:t>:</w:t>
      </w:r>
    </w:p>
    <w:p>
      <w:pPr>
        <w:ind w:left="1460" w:right="7020"/>
        <w:spacing w:after="0" w:line="247" w:lineRule="auto"/>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Stewart Title Guaranty Company One Washington Mall, Suite 1400 Boston, MA 02108</w:t>
      </w:r>
    </w:p>
    <w:p>
      <w:pPr>
        <w:ind w:left="14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Attn: Laura Schumacher</w:t>
      </w:r>
    </w:p>
    <w:p>
      <w:pPr>
        <w:ind w:left="1460" w:right="6520"/>
        <w:spacing w:after="0" w:line="492" w:lineRule="auto"/>
        <w:rPr>
          <w:rFonts w:ascii="Times New Roman" w:cs="Times New Roman" w:eastAsia="Times New Roman" w:hAnsi="Times New Roman"/>
          <w:sz w:val="20"/>
          <w:szCs w:val="20"/>
          <w:color w:val="010000"/>
        </w:rPr>
      </w:pPr>
      <w:r>
        <w:rPr>
          <w:rFonts w:ascii="Times New Roman" w:cs="Times New Roman" w:eastAsia="Times New Roman" w:hAnsi="Times New Roman"/>
          <w:sz w:val="19"/>
          <w:szCs w:val="19"/>
          <w:color w:val="auto"/>
        </w:rPr>
        <w:t xml:space="preserve">Email: Laura.Schumacher@stewart.com </w:t>
      </w:r>
      <w:r>
        <w:rPr>
          <w:rFonts w:ascii="Times New Roman" w:cs="Times New Roman" w:eastAsia="Times New Roman" w:hAnsi="Times New Roman"/>
          <w:sz w:val="19"/>
          <w:szCs w:val="19"/>
          <w:i w:val="1"/>
          <w:iCs w:val="1"/>
          <w:color w:val="auto"/>
        </w:rPr>
        <w:t>with copies to:</w:t>
      </w:r>
    </w:p>
    <w:p>
      <w:pPr>
        <w:ind w:left="14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Lexington National Land Services</w:t>
      </w:r>
    </w:p>
    <w:p>
      <w:pPr>
        <w:spacing w:after="0" w:line="21" w:lineRule="exact"/>
        <w:rPr>
          <w:rFonts w:ascii="Times New Roman" w:cs="Times New Roman" w:eastAsia="Times New Roman" w:hAnsi="Times New Roman"/>
          <w:sz w:val="20"/>
          <w:szCs w:val="20"/>
          <w:color w:val="010000"/>
        </w:rPr>
      </w:pPr>
    </w:p>
    <w:p>
      <w:pPr>
        <w:ind w:left="1460" w:right="6960"/>
        <w:spacing w:after="0" w:line="239" w:lineRule="auto"/>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420 Lexington Avenue, Suite 1820 New York, New York 10170</w:t>
      </w:r>
    </w:p>
    <w:p>
      <w:pPr>
        <w:ind w:left="14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Attn: Kelly Demonda and Wendy Howell</w:t>
      </w:r>
    </w:p>
    <w:p>
      <w:pPr>
        <w:ind w:left="1460" w:right="5040"/>
        <w:spacing w:after="0" w:line="467" w:lineRule="auto"/>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Email: KDemonda@lexnls.com and whowell@lexnls.com. </w:t>
      </w:r>
      <w:r>
        <w:rPr>
          <w:rFonts w:ascii="Times New Roman" w:cs="Times New Roman" w:eastAsia="Times New Roman" w:hAnsi="Times New Roman"/>
          <w:sz w:val="20"/>
          <w:szCs w:val="20"/>
          <w:u w:val="single" w:color="auto"/>
          <w:color w:val="auto"/>
        </w:rPr>
        <w:t>If to Escrow Agent</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010000"/>
        </w:rPr>
      </w:pPr>
    </w:p>
    <w:p>
      <w:pPr>
        <w:ind w:left="1460" w:right="7020"/>
        <w:spacing w:after="0" w:line="247" w:lineRule="auto"/>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Stewart Title Guaranty Company One Washington Mall, Suite 1400 Boston, MA 02108</w:t>
      </w:r>
    </w:p>
    <w:p>
      <w:pPr>
        <w:ind w:left="14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Attn: Marcello Ciaramitaro</w:t>
      </w:r>
    </w:p>
    <w:p>
      <w:pPr>
        <w:ind w:left="1460" w:right="6300"/>
        <w:spacing w:after="0" w:line="523" w:lineRule="auto"/>
        <w:rPr>
          <w:rFonts w:ascii="Times New Roman" w:cs="Times New Roman" w:eastAsia="Times New Roman" w:hAnsi="Times New Roman"/>
          <w:sz w:val="20"/>
          <w:szCs w:val="20"/>
          <w:color w:val="010000"/>
        </w:rPr>
      </w:pPr>
      <w:r>
        <w:rPr>
          <w:rFonts w:ascii="Times New Roman" w:cs="Times New Roman" w:eastAsia="Times New Roman" w:hAnsi="Times New Roman"/>
          <w:sz w:val="19"/>
          <w:szCs w:val="19"/>
          <w:color w:val="auto"/>
        </w:rPr>
        <w:t xml:space="preserve">Email: Marcello.Ciaramitaro@stewart.com </w:t>
      </w:r>
      <w:r>
        <w:rPr>
          <w:rFonts w:ascii="Times New Roman" w:cs="Times New Roman" w:eastAsia="Times New Roman" w:hAnsi="Times New Roman"/>
          <w:sz w:val="19"/>
          <w:szCs w:val="19"/>
          <w:i w:val="1"/>
          <w:iCs w:val="1"/>
          <w:color w:val="auto"/>
        </w:rPr>
        <w:t>with copies to:</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09" w:right="339" w:bottom="1440" w:gutter="0" w:footer="0" w:header="0"/>
        </w:sectPr>
      </w:pPr>
    </w:p>
    <w:bookmarkStart w:id="180" w:name="page181"/>
    <w:bookmarkEnd w:id="180"/>
    <w:p>
      <w:pPr>
        <w:spacing w:after="0" w:line="20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color w:val="auto"/>
        </w:rPr>
        <w:t>Lexington National Land Services</w:t>
      </w:r>
    </w:p>
    <w:p>
      <w:pPr>
        <w:spacing w:after="0" w:line="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color w:val="auto"/>
        </w:rPr>
        <w:t>420 Lexington Avenue, Suite 1820</w:t>
      </w:r>
    </w:p>
    <w:p>
      <w:pPr>
        <w:ind w:left="1460"/>
        <w:spacing w:after="0"/>
        <w:rPr>
          <w:sz w:val="20"/>
          <w:szCs w:val="20"/>
          <w:color w:val="auto"/>
        </w:rPr>
      </w:pPr>
      <w:r>
        <w:rPr>
          <w:rFonts w:ascii="Times New Roman" w:cs="Times New Roman" w:eastAsia="Times New Roman" w:hAnsi="Times New Roman"/>
          <w:sz w:val="20"/>
          <w:szCs w:val="20"/>
          <w:color w:val="auto"/>
        </w:rPr>
        <w:t>New York, New York 10170</w:t>
      </w:r>
    </w:p>
    <w:p>
      <w:pPr>
        <w:ind w:left="1460"/>
        <w:spacing w:after="0"/>
        <w:rPr>
          <w:sz w:val="20"/>
          <w:szCs w:val="20"/>
          <w:color w:val="auto"/>
        </w:rPr>
      </w:pPr>
      <w:r>
        <w:rPr>
          <w:rFonts w:ascii="Times New Roman" w:cs="Times New Roman" w:eastAsia="Times New Roman" w:hAnsi="Times New Roman"/>
          <w:sz w:val="20"/>
          <w:szCs w:val="20"/>
          <w:color w:val="auto"/>
        </w:rPr>
        <w:t>Attn: Kelly Demonda and Wendy Howell</w:t>
      </w:r>
    </w:p>
    <w:p>
      <w:pPr>
        <w:ind w:left="1460"/>
        <w:spacing w:after="0"/>
        <w:rPr>
          <w:sz w:val="20"/>
          <w:szCs w:val="20"/>
          <w:color w:val="auto"/>
        </w:rPr>
      </w:pPr>
      <w:r>
        <w:rPr>
          <w:rFonts w:ascii="Times New Roman" w:cs="Times New Roman" w:eastAsia="Times New Roman" w:hAnsi="Times New Roman"/>
          <w:sz w:val="20"/>
          <w:szCs w:val="20"/>
          <w:color w:val="auto"/>
        </w:rPr>
        <w:t>Email: KDemonda@lexnls.com and whowell@lexnls.com.</w:t>
      </w:r>
    </w:p>
    <w:p>
      <w:pPr>
        <w:spacing w:after="0" w:line="203" w:lineRule="exact"/>
        <w:rPr>
          <w:sz w:val="20"/>
          <w:szCs w:val="20"/>
          <w:color w:val="auto"/>
        </w:rPr>
      </w:pPr>
    </w:p>
    <w:p>
      <w:pPr>
        <w:ind w:left="1460" w:hanging="369"/>
        <w:spacing w:after="0"/>
        <w:tabs>
          <w:tab w:leader="none" w:pos="1460" w:val="left"/>
        </w:tabs>
        <w:numPr>
          <w:ilvl w:val="0"/>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“Examination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have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“Excluded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“Existing 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“FIRPTA”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“Government List”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8(k)(i)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6" w:lineRule="exact"/>
        <w:rPr>
          <w:sz w:val="20"/>
          <w:szCs w:val="20"/>
          <w:color w:val="auto"/>
        </w:rPr>
      </w:pPr>
    </w:p>
    <w:p>
      <w:pPr>
        <w:ind w:left="1460" w:hanging="369"/>
        <w:spacing w:after="0"/>
        <w:tabs>
          <w:tab w:leader="none" w:pos="1460" w:val="left"/>
        </w:tabs>
        <w:numPr>
          <w:ilvl w:val="0"/>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“Governmental Authority”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8(k)(i)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“Improvements”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 the definition of Property.</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“Independent Consideration”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have the meaning assigned thereto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“Initial Earnest Money”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have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“Intangible Property”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 the definition of Property.</w:t>
      </w:r>
    </w:p>
    <w:p>
      <w:pPr>
        <w:spacing w:after="0" w:line="215" w:lineRule="exact"/>
        <w:rPr>
          <w:rFonts w:ascii="Times New Roman" w:cs="Times New Roman" w:eastAsia="Times New Roman" w:hAnsi="Times New Roman"/>
          <w:sz w:val="20"/>
          <w:szCs w:val="20"/>
          <w:color w:val="010000"/>
        </w:rPr>
      </w:pPr>
    </w:p>
    <w:p>
      <w:pPr>
        <w:jc w:val="both"/>
        <w:ind w:left="1460" w:hanging="369"/>
        <w:spacing w:after="0" w:line="256" w:lineRule="auto"/>
        <w:tabs>
          <w:tab w:leader="none" w:pos="1460" w:val="left"/>
        </w:tabs>
        <w:numPr>
          <w:ilvl w:val="0"/>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“Lease” or “Leases”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mean, individually or collectively, as the context may require, all written leases, licenses,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rental agreements and other occupancy agreements by and between Seller and tenants with respect to the Real Property, exclusive of access or similar agreements for utilities or other service providers.</w:t>
      </w:r>
    </w:p>
    <w:p>
      <w:pPr>
        <w:spacing w:after="0" w:line="168" w:lineRule="exact"/>
        <w:rPr>
          <w:rFonts w:ascii="Times New Roman" w:cs="Times New Roman" w:eastAsia="Times New Roman" w:hAnsi="Times New Roman"/>
          <w:sz w:val="20"/>
          <w:szCs w:val="20"/>
          <w:color w:val="010000"/>
        </w:rPr>
      </w:pPr>
    </w:p>
    <w:p>
      <w:pPr>
        <w:jc w:val="both"/>
        <w:ind w:left="1460" w:hanging="369"/>
        <w:spacing w:after="0" w:line="246" w:lineRule="auto"/>
        <w:tabs>
          <w:tab w:leader="none" w:pos="1460" w:val="left"/>
        </w:tabs>
        <w:numPr>
          <w:ilvl w:val="0"/>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“Leasing Costs”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mean, with respect to a particular Lease, all capital costs and expenses incurred for capital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improvements and other items to satisfy the initial obligations of the landlord to prepare the premises for occupancy under such Lease; “tenant allowances” in lieu of or as reimbursements for the foregoing items; legal fees and expenses in connection with initial execution of the Lease; leasing commissions and brokerage commissions, in each case to the extent the landlord is responsible for the payment of such cost or expense under the relevant Lease or any other agreement relating to such Lease. Leasing Costs shall not include any obligation with respect to free rent periods.</w:t>
      </w:r>
    </w:p>
    <w:p>
      <w:pPr>
        <w:spacing w:after="0" w:line="178"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“Mandatory Cure Lien”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ind w:left="1460" w:hanging="369"/>
        <w:spacing w:after="0" w:line="273" w:lineRule="auto"/>
        <w:tabs>
          <w:tab w:leader="none" w:pos="1460" w:val="left"/>
        </w:tabs>
        <w:numPr>
          <w:ilvl w:val="0"/>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“Material Contracts”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mean all Contracts other than any Contract that either (i) is terminable as of right and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cause on sixty (60) days’ or less notice without cost 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sectPr>
      </w:pPr>
    </w:p>
    <w:bookmarkStart w:id="181" w:name="page182"/>
    <w:bookmarkEnd w:id="181"/>
    <w:p>
      <w:pPr>
        <w:ind w:left="1460" w:right="20"/>
        <w:spacing w:after="0" w:line="269" w:lineRule="auto"/>
        <w:rPr>
          <w:sz w:val="20"/>
          <w:szCs w:val="20"/>
          <w:color w:val="auto"/>
        </w:rPr>
      </w:pPr>
      <w:r>
        <w:rPr>
          <w:rFonts w:ascii="Times New Roman" w:cs="Times New Roman" w:eastAsia="Times New Roman" w:hAnsi="Times New Roman"/>
          <w:sz w:val="20"/>
          <w:szCs w:val="20"/>
          <w:color w:val="auto"/>
        </w:rPr>
        <w:t>penalty or (ii) does not require the payment by, or on behalf of, Seller of more than $250,000 with respect to any Property in any calendar year.</w:t>
      </w:r>
    </w:p>
    <w:p>
      <w:pPr>
        <w:spacing w:after="0" w:line="155" w:lineRule="exact"/>
        <w:rPr>
          <w:sz w:val="20"/>
          <w:szCs w:val="20"/>
          <w:color w:val="auto"/>
        </w:rPr>
      </w:pPr>
    </w:p>
    <w:p>
      <w:pPr>
        <w:ind w:left="1460" w:hanging="369"/>
        <w:spacing w:after="0"/>
        <w:tabs>
          <w:tab w:leader="none" w:pos="1460" w:val="left"/>
        </w:tabs>
        <w:numPr>
          <w:ilvl w:val="0"/>
          <w:numId w:val="1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“New Exception”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1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“New Exception Review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1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“New 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010000"/>
        </w:rPr>
        <w:t>(mm)</w:t>
      </w:r>
      <w:r>
        <w:rPr>
          <w:rFonts w:ascii="Times New Roman" w:cs="Times New Roman" w:eastAsia="Times New Roman" w:hAnsi="Times New Roman"/>
          <w:sz w:val="20"/>
          <w:szCs w:val="20"/>
          <w:b w:val="1"/>
          <w:bCs w:val="1"/>
          <w:u w:val="single" w:color="auto"/>
          <w:color w:val="000000"/>
        </w:rPr>
        <w:t>“Objections”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has the meaning ascribed to such term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Section 6(a)</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hereof.</w:t>
      </w:r>
    </w:p>
    <w:p>
      <w:pPr>
        <w:spacing w:after="0" w:line="216" w:lineRule="exact"/>
        <w:rPr>
          <w:sz w:val="20"/>
          <w:szCs w:val="20"/>
          <w:color w:val="auto"/>
        </w:rPr>
      </w:pPr>
    </w:p>
    <w:p>
      <w:pPr>
        <w:ind w:left="1460" w:hanging="369"/>
        <w:spacing w:after="0"/>
        <w:tabs>
          <w:tab w:leader="none" w:pos="1460" w:val="left"/>
        </w:tabs>
        <w:numPr>
          <w:ilvl w:val="0"/>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u w:val="single" w:color="auto"/>
          <w:color w:val="auto"/>
        </w:rPr>
        <w:t>Objection Notice</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has the meaning ascribed to such term in Section 6(a) hereof.</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“OFAC”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8(k)(i)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jc w:val="both"/>
        <w:ind w:left="1460" w:hanging="369"/>
        <w:spacing w:after="0" w:line="242" w:lineRule="auto"/>
        <w:tabs>
          <w:tab w:leader="none" w:pos="1460" w:val="left"/>
        </w:tabs>
        <w:numPr>
          <w:ilvl w:val="0"/>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“Permitted Exceptions”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mean all of the following: (i) the Leases, all Contracts affecting the Property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Leases, or other contracts entered into by Seller and accepted by Buyer pursuant to the terms and conditions of this Agreement, (ii) liens for current real estate taxes and special assessments which are not yet due and payable or are being contested in good faith, (iii) standard pre-printed provisions contained in the form of title insurance policies, (iv) discrepancies, conflicts in boundary lines, shortages in area, encroachments and any state of facts which a survey of the Property or an update of the Survey would disclose as of the date of the Title Report (without regard to any update of the Title Report after the expiration of the Examination Period) or which are shown on the public records as of the date of the Title Report (without regard to any update of the Title Report after the expiration of the Examination Period), (v) Intentionally Omitted, (vi) Intentionally Omitted, (vii) any title exception which is (x) approved, waived or deemed approved or waived by Buyer pursuant to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 xml:space="preserve"> or otherwise cannot be objected to by Buyer under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 xml:space="preserve"> or</w:t>
      </w:r>
    </w:p>
    <w:p>
      <w:pPr>
        <w:spacing w:after="0" w:line="2" w:lineRule="exact"/>
        <w:rPr>
          <w:rFonts w:ascii="Times New Roman" w:cs="Times New Roman" w:eastAsia="Times New Roman" w:hAnsi="Times New Roman"/>
          <w:sz w:val="20"/>
          <w:szCs w:val="20"/>
          <w:color w:val="010000"/>
        </w:rPr>
      </w:pPr>
    </w:p>
    <w:p>
      <w:pPr>
        <w:jc w:val="both"/>
        <w:ind w:left="14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(y) created in accordance with the provisions of this Agreement, (viii) rights of Tenants, as tenants only, under the Leases, including any new Lease entered into after the Effective Date in accordance with the terms of this Agreement, (ix) any exceptions caused by or resulting from the acts or agreements of Buyer or its Affiliates or any of their agents, representatives or employees, (x) such other exceptions as the Title Insurer shall commit to insure over (including pursuant to an endorsement) without any additional cost or liability to Buyer, whether such insurance is made available in consideration of payment, bonding, indemnity of Seller or otherwise, or made pursuant to an endorsement to the Title Policy, (xi) any title exception created pursuant to a Lease by a Tenant or pursuant to a Lease or otherwise that is to be discharged by or is otherwise the responsibility of a tenant, subtenant or occupant of the Property, including, without limitation, any construction or mechanics liens arising by or through the Tenants affecting any Property, notices of commencement or similar filings filed in connection with tenant improvements, capital expenditures work or Landlord work, and (xii) easements and laws, regulations, resolutions or ordinances, including, without limitation, building, zoning and environmental protection, as to the use, occupancy, subdivision, development, conversion or redevelopment of any Property currently or hereinafter imposed by any Governmental Authority.</w:t>
      </w:r>
    </w:p>
    <w:p>
      <w:pPr>
        <w:spacing w:after="0" w:line="183" w:lineRule="exact"/>
        <w:rPr>
          <w:rFonts w:ascii="Times New Roman" w:cs="Times New Roman" w:eastAsia="Times New Roman" w:hAnsi="Times New Roman"/>
          <w:sz w:val="20"/>
          <w:szCs w:val="20"/>
          <w:color w:val="010000"/>
        </w:rPr>
      </w:pPr>
    </w:p>
    <w:p>
      <w:pPr>
        <w:ind w:left="1460" w:right="20" w:hanging="369"/>
        <w:spacing w:after="0" w:line="273" w:lineRule="auto"/>
        <w:tabs>
          <w:tab w:leader="none" w:pos="1460" w:val="left"/>
        </w:tabs>
        <w:numPr>
          <w:ilvl w:val="0"/>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“Person”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any natural person, partnership, corporation, limited liability company and any other form of business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legal entity.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3" w:right="339" w:bottom="1440" w:gutter="0" w:footer="0" w:header="0"/>
        </w:sectPr>
      </w:pPr>
    </w:p>
    <w:bookmarkStart w:id="182" w:name="page183"/>
    <w:bookmarkEnd w:id="182"/>
    <w:p>
      <w:pPr>
        <w:ind w:left="1460" w:hanging="369"/>
        <w:spacing w:after="0"/>
        <w:tabs>
          <w:tab w:leader="none" w:pos="1460"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“Personalty”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 the definition of Property.</w:t>
      </w:r>
    </w:p>
    <w:p>
      <w:pPr>
        <w:spacing w:after="0" w:line="215" w:lineRule="exact"/>
        <w:rPr>
          <w:rFonts w:ascii="Times New Roman" w:cs="Times New Roman" w:eastAsia="Times New Roman" w:hAnsi="Times New Roman"/>
          <w:sz w:val="20"/>
          <w:szCs w:val="20"/>
          <w:color w:val="010000"/>
        </w:rPr>
      </w:pPr>
    </w:p>
    <w:p>
      <w:pPr>
        <w:jc w:val="both"/>
        <w:ind w:left="1460" w:hanging="369"/>
        <w:spacing w:after="0" w:line="242" w:lineRule="auto"/>
        <w:tabs>
          <w:tab w:leader="none" w:pos="1460"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“Property” and “Properties”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mean, individually or collectively, as the context may require, other than Excluded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Assets, (a) those certain real properties commonly known as </w:t>
      </w:r>
      <w:r>
        <w:rPr>
          <w:rFonts w:ascii="Times New Roman" w:cs="Times New Roman" w:eastAsia="Times New Roman" w:hAnsi="Times New Roman"/>
          <w:sz w:val="20"/>
          <w:szCs w:val="20"/>
          <w:b w:val="1"/>
          <w:bCs w:val="1"/>
          <w:color w:val="auto"/>
        </w:rPr>
        <w:t>3929 Westpoint Blvd., Winston Salem, North Carolina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2598 Empire Drive, Winston Salem, North Carolina</w:t>
      </w:r>
      <w:r>
        <w:rPr>
          <w:rFonts w:ascii="Times New Roman" w:cs="Times New Roman" w:eastAsia="Times New Roman" w:hAnsi="Times New Roman"/>
          <w:sz w:val="20"/>
          <w:szCs w:val="20"/>
          <w:color w:val="auto"/>
        </w:rPr>
        <w:t xml:space="preserve">, being legally described on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attached hereto and incorporated herein by this reference (collectively, the “</w:t>
      </w:r>
      <w:r>
        <w:rPr>
          <w:rFonts w:ascii="Times New Roman" w:cs="Times New Roman" w:eastAsia="Times New Roman" w:hAnsi="Times New Roman"/>
          <w:sz w:val="20"/>
          <w:szCs w:val="20"/>
          <w:b w:val="1"/>
          <w:bCs w:val="1"/>
          <w:u w:val="single" w:color="auto"/>
          <w:color w:val="auto"/>
        </w:rPr>
        <w:t>Real Property</w:t>
      </w:r>
      <w:r>
        <w:rPr>
          <w:rFonts w:ascii="Times New Roman" w:cs="Times New Roman" w:eastAsia="Times New Roman" w:hAnsi="Times New Roman"/>
          <w:sz w:val="20"/>
          <w:szCs w:val="20"/>
          <w:color w:val="auto"/>
        </w:rPr>
        <w:t>”), together with all buildings, facilities and other improvements located thereon (collectively, the “</w:t>
      </w:r>
      <w:r>
        <w:rPr>
          <w:rFonts w:ascii="Times New Roman" w:cs="Times New Roman" w:eastAsia="Times New Roman" w:hAnsi="Times New Roman"/>
          <w:sz w:val="20"/>
          <w:szCs w:val="20"/>
          <w:b w:val="1"/>
          <w:bCs w:val="1"/>
          <w:u w:val="single" w:color="auto"/>
          <w:color w:val="auto"/>
        </w:rPr>
        <w:t>Improvements</w:t>
      </w:r>
      <w:r>
        <w:rPr>
          <w:rFonts w:ascii="Times New Roman" w:cs="Times New Roman" w:eastAsia="Times New Roman" w:hAnsi="Times New Roman"/>
          <w:sz w:val="20"/>
          <w:szCs w:val="20"/>
          <w:color w:val="auto"/>
        </w:rPr>
        <w:t>”); (b) all right, title and interest of Seller under the Leases; (c) all right, title and interest of Seller in all machinery, furniture, equipment and items of personal property of Seller attached or appurtenant to, located on or used in the ownership, use, operation or maintenance of the Property or the Improvements, if any (collectively, the “</w:t>
      </w:r>
      <w:r>
        <w:rPr>
          <w:rFonts w:ascii="Times New Roman" w:cs="Times New Roman" w:eastAsia="Times New Roman" w:hAnsi="Times New Roman"/>
          <w:sz w:val="20"/>
          <w:szCs w:val="20"/>
          <w:b w:val="1"/>
          <w:bCs w:val="1"/>
          <w:u w:val="single" w:color="auto"/>
          <w:color w:val="auto"/>
        </w:rPr>
        <w:t>Personalty</w:t>
      </w:r>
      <w:r>
        <w:rPr>
          <w:rFonts w:ascii="Times New Roman" w:cs="Times New Roman" w:eastAsia="Times New Roman" w:hAnsi="Times New Roman"/>
          <w:sz w:val="20"/>
          <w:szCs w:val="20"/>
          <w:color w:val="auto"/>
        </w:rPr>
        <w:t>”); (d) all easements, licenses, rights and appurtenances relating to any of the foregoing; and (e) all right, title and interest of Seller in and to any warranties, tradenames, logos (including any federal or state trademark or tradename registrations), or other identifying name or mark now used in connection with the Real Property and/or the Improvements, and not any other property owned by Seller or its Affiliates (the “</w:t>
      </w:r>
      <w:r>
        <w:rPr>
          <w:rFonts w:ascii="Times New Roman" w:cs="Times New Roman" w:eastAsia="Times New Roman" w:hAnsi="Times New Roman"/>
          <w:sz w:val="20"/>
          <w:szCs w:val="20"/>
          <w:b w:val="1"/>
          <w:bCs w:val="1"/>
          <w:u w:val="single" w:color="auto"/>
          <w:color w:val="auto"/>
        </w:rPr>
        <w:t>Intangible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Property</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“Purchase Price”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have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“Real Property”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 the definition of Property.</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5(a)(i)(1)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010000"/>
        </w:rPr>
        <w:t>(ww)</w:t>
      </w:r>
      <w:r>
        <w:rPr>
          <w:rFonts w:ascii="Times New Roman" w:cs="Times New Roman" w:eastAsia="Times New Roman" w:hAnsi="Times New Roman"/>
          <w:sz w:val="20"/>
          <w:szCs w:val="20"/>
          <w:b w:val="1"/>
          <w:bCs w:val="1"/>
          <w:u w:val="single" w:color="auto"/>
          <w:color w:val="000000"/>
        </w:rPr>
        <w:t>“Representation Claim”</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has the meaning ascribed to such term in Section 15(d) hereof.</w:t>
      </w:r>
    </w:p>
    <w:p>
      <w:pPr>
        <w:spacing w:after="0" w:line="216" w:lineRule="exact"/>
        <w:rPr>
          <w:sz w:val="20"/>
          <w:szCs w:val="20"/>
          <w:color w:val="auto"/>
        </w:rPr>
      </w:pPr>
    </w:p>
    <w:p>
      <w:pPr>
        <w:jc w:val="both"/>
        <w:ind w:left="1460" w:hanging="369"/>
        <w:spacing w:after="0" w:line="250" w:lineRule="auto"/>
        <w:tabs>
          <w:tab w:leader="none" w:pos="1460" w:val="left"/>
        </w:tabs>
        <w:numPr>
          <w:ilvl w:val="0"/>
          <w:numId w:val="10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“Required Tenants”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mean, collectively, Tenants that, in the aggregate, represent at least</w:t>
      </w:r>
      <w:r>
        <w:rPr>
          <w:rFonts w:ascii="Times New Roman" w:cs="Times New Roman" w:eastAsia="Times New Roman" w:hAnsi="Times New Roman"/>
          <w:sz w:val="20"/>
          <w:szCs w:val="20"/>
          <w:b w:val="1"/>
          <w:bCs w:val="1"/>
          <w:color w:val="auto"/>
        </w:rPr>
        <w:t xml:space="preserve"> ninety percent (90%) </w:t>
      </w:r>
      <w:r>
        <w:rPr>
          <w:rFonts w:ascii="Times New Roman" w:cs="Times New Roman" w:eastAsia="Times New Roman" w:hAnsi="Times New Roman"/>
          <w:sz w:val="20"/>
          <w:szCs w:val="20"/>
          <w:color w:val="auto"/>
        </w:rPr>
        <w:t>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Total Non-Affiliated Square Footage (as hereinafter defined). For purposes herein, the “</w:t>
      </w:r>
      <w:r>
        <w:rPr>
          <w:rFonts w:ascii="Times New Roman" w:cs="Times New Roman" w:eastAsia="Times New Roman" w:hAnsi="Times New Roman"/>
          <w:sz w:val="20"/>
          <w:szCs w:val="20"/>
          <w:b w:val="1"/>
          <w:bCs w:val="1"/>
          <w:color w:val="auto"/>
        </w:rPr>
        <w:t>Total Non-Affiliated Square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Footage</w:t>
      </w:r>
      <w:r>
        <w:rPr>
          <w:rFonts w:ascii="Times New Roman" w:cs="Times New Roman" w:eastAsia="Times New Roman" w:hAnsi="Times New Roman"/>
          <w:sz w:val="20"/>
          <w:szCs w:val="20"/>
          <w:color w:val="auto"/>
        </w:rPr>
        <w:t>” means the total aggregate leased square footage of the Improvements excluding all areas of the Improvements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are leased to (or otherwise occupied by) Buyer or any Affiliate of Buyer.</w:t>
      </w:r>
    </w:p>
    <w:p>
      <w:pPr>
        <w:spacing w:after="0" w:line="17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10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“Seller Estoppel Certificate”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10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“Seller Releasees”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010000"/>
        </w:rPr>
        <w:t>(aaa)</w:t>
      </w:r>
      <w:r>
        <w:rPr>
          <w:rFonts w:ascii="Times New Roman" w:cs="Times New Roman" w:eastAsia="Times New Roman" w:hAnsi="Times New Roman"/>
          <w:sz w:val="20"/>
          <w:szCs w:val="20"/>
          <w:b w:val="1"/>
          <w:bCs w:val="1"/>
          <w:u w:val="single" w:color="auto"/>
          <w:color w:val="000000"/>
        </w:rPr>
        <w:t>“Seller’s Actual Reimbursable Tenant Expenses”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has the meaning ascribed to such term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Section 5(a)(i)(3)</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hereof.</w:t>
      </w:r>
    </w:p>
    <w:p>
      <w:pPr>
        <w:spacing w:after="0" w:line="2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010000"/>
        </w:rPr>
        <w:t>(bbb)</w:t>
      </w:r>
      <w:r>
        <w:rPr>
          <w:rFonts w:ascii="Times New Roman" w:cs="Times New Roman" w:eastAsia="Times New Roman" w:hAnsi="Times New Roman"/>
          <w:sz w:val="20"/>
          <w:szCs w:val="20"/>
          <w:b w:val="1"/>
          <w:bCs w:val="1"/>
          <w:u w:val="single" w:color="auto"/>
          <w:color w:val="000000"/>
        </w:rPr>
        <w:t>“Seller’s Actual Tenant Reimbursements”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has the meaning ascribed to such term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Section 5(a)(i)(3)</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hereof.</w:t>
      </w:r>
    </w:p>
    <w:p>
      <w:pPr>
        <w:spacing w:after="0" w:line="2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010000"/>
        </w:rPr>
        <w:t>(ccc)</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u w:val="single" w:color="auto"/>
          <w:color w:val="000000"/>
        </w:rPr>
        <w:t>Seller’s Broker</w:t>
      </w:r>
      <w:r>
        <w:rPr>
          <w:rFonts w:ascii="Times New Roman" w:cs="Times New Roman" w:eastAsia="Times New Roman" w:hAnsi="Times New Roman"/>
          <w:sz w:val="20"/>
          <w:szCs w:val="20"/>
          <w:color w:val="000000"/>
        </w:rPr>
        <w:t>” shall mean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b w:val="1"/>
          <w:bCs w:val="1"/>
          <w:color w:val="000000"/>
        </w:rPr>
        <w:t>Cushman &amp; Wakefield</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010000"/>
        </w:rPr>
        <w:t>(ddd)</w:t>
      </w:r>
      <w:r>
        <w:rPr>
          <w:rFonts w:ascii="Times New Roman" w:cs="Times New Roman" w:eastAsia="Times New Roman" w:hAnsi="Times New Roman"/>
          <w:sz w:val="20"/>
          <w:szCs w:val="20"/>
          <w:b w:val="1"/>
          <w:bCs w:val="1"/>
          <w:u w:val="single" w:color="auto"/>
          <w:color w:val="000000"/>
        </w:rPr>
        <w:t>“Seller’s Leasing Costs”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has the meaning ascribed to such term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Section 5(b)</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hereof.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09" w:right="339" w:bottom="1440" w:gutter="0" w:footer="0" w:header="0"/>
        </w:sectPr>
      </w:pPr>
    </w:p>
    <w:bookmarkStart w:id="183" w:name="page184"/>
    <w:bookmarkEnd w:id="183"/>
    <w:p>
      <w:pPr>
        <w:ind w:left="1100"/>
        <w:spacing w:after="0"/>
        <w:rPr>
          <w:sz w:val="20"/>
          <w:szCs w:val="20"/>
          <w:color w:val="auto"/>
        </w:rPr>
      </w:pPr>
      <w:r>
        <w:rPr>
          <w:rFonts w:ascii="Times New Roman" w:cs="Times New Roman" w:eastAsia="Times New Roman" w:hAnsi="Times New Roman"/>
          <w:sz w:val="20"/>
          <w:szCs w:val="20"/>
          <w:color w:val="010000"/>
        </w:rPr>
        <w:t>(eee)</w:t>
      </w:r>
      <w:r>
        <w:rPr>
          <w:rFonts w:ascii="Times New Roman" w:cs="Times New Roman" w:eastAsia="Times New Roman" w:hAnsi="Times New Roman"/>
          <w:sz w:val="20"/>
          <w:szCs w:val="20"/>
          <w:b w:val="1"/>
          <w:bCs w:val="1"/>
          <w:u w:val="single" w:color="auto"/>
          <w:color w:val="000000"/>
        </w:rPr>
        <w:t>“Seller’s Notice Address”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shall be as follows, except as same may be changed pursuant to the Notice section herein:</w:t>
      </w:r>
    </w:p>
    <w:p>
      <w:pPr>
        <w:spacing w:after="0" w:line="22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color w:val="auto"/>
        </w:rPr>
        <w:t>Blackstone Real Estate Advisors L.P.</w:t>
      </w:r>
    </w:p>
    <w:p>
      <w:pPr>
        <w:spacing w:after="0" w:line="2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color w:val="auto"/>
        </w:rPr>
        <w:t>345 Park Avenue</w:t>
      </w:r>
    </w:p>
    <w:p>
      <w:pPr>
        <w:ind w:left="2220"/>
        <w:spacing w:after="0"/>
        <w:rPr>
          <w:sz w:val="20"/>
          <w:szCs w:val="20"/>
          <w:color w:val="auto"/>
        </w:rPr>
      </w:pPr>
      <w:r>
        <w:rPr>
          <w:rFonts w:ascii="Times New Roman" w:cs="Times New Roman" w:eastAsia="Times New Roman" w:hAnsi="Times New Roman"/>
          <w:sz w:val="20"/>
          <w:szCs w:val="20"/>
          <w:color w:val="auto"/>
        </w:rPr>
        <w:t>New York, New York 10154</w:t>
      </w:r>
    </w:p>
    <w:p>
      <w:pPr>
        <w:ind w:left="2220"/>
        <w:spacing w:after="0"/>
        <w:rPr>
          <w:sz w:val="20"/>
          <w:szCs w:val="20"/>
          <w:color w:val="auto"/>
        </w:rPr>
      </w:pPr>
      <w:r>
        <w:rPr>
          <w:rFonts w:ascii="Times New Roman" w:cs="Times New Roman" w:eastAsia="Times New Roman" w:hAnsi="Times New Roman"/>
          <w:sz w:val="20"/>
          <w:szCs w:val="20"/>
          <w:color w:val="auto"/>
        </w:rPr>
        <w:t>Attn: Head, U.S. Asset Management; General Counsel</w:t>
      </w:r>
    </w:p>
    <w:p>
      <w:pPr>
        <w:ind w:left="2220"/>
        <w:spacing w:after="0"/>
        <w:rPr>
          <w:sz w:val="20"/>
          <w:szCs w:val="20"/>
          <w:color w:val="auto"/>
        </w:rPr>
      </w:pPr>
      <w:r>
        <w:rPr>
          <w:rFonts w:ascii="Times New Roman" w:cs="Times New Roman" w:eastAsia="Times New Roman" w:hAnsi="Times New Roman"/>
          <w:sz w:val="20"/>
          <w:szCs w:val="20"/>
          <w:color w:val="auto"/>
        </w:rPr>
        <w:t>Email: realestatenotices@blackstone.com</w:t>
      </w:r>
    </w:p>
    <w:p>
      <w:pPr>
        <w:spacing w:after="0" w:line="200" w:lineRule="exact"/>
        <w:rPr>
          <w:sz w:val="20"/>
          <w:szCs w:val="20"/>
          <w:color w:val="auto"/>
        </w:rPr>
      </w:pPr>
    </w:p>
    <w:p>
      <w:pPr>
        <w:spacing w:after="0" w:line="22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color w:val="auto"/>
        </w:rPr>
        <w:t>c/o Link Logistics Real Estate LLC</w:t>
      </w:r>
    </w:p>
    <w:p>
      <w:pPr>
        <w:spacing w:after="0" w:line="2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color w:val="auto"/>
        </w:rPr>
        <w:t>602 W. Office Center Dr.; Suite 200</w:t>
      </w:r>
    </w:p>
    <w:p>
      <w:pPr>
        <w:ind w:left="2220"/>
        <w:spacing w:after="0"/>
        <w:rPr>
          <w:sz w:val="20"/>
          <w:szCs w:val="20"/>
          <w:color w:val="auto"/>
        </w:rPr>
      </w:pPr>
      <w:r>
        <w:rPr>
          <w:rFonts w:ascii="Times New Roman" w:cs="Times New Roman" w:eastAsia="Times New Roman" w:hAnsi="Times New Roman"/>
          <w:sz w:val="20"/>
          <w:szCs w:val="20"/>
          <w:color w:val="auto"/>
        </w:rPr>
        <w:t>Fort Washington, PA 19034</w:t>
      </w:r>
    </w:p>
    <w:p>
      <w:pPr>
        <w:ind w:left="2220"/>
        <w:spacing w:after="0"/>
        <w:rPr>
          <w:sz w:val="20"/>
          <w:szCs w:val="20"/>
          <w:color w:val="auto"/>
        </w:rPr>
      </w:pPr>
      <w:r>
        <w:rPr>
          <w:rFonts w:ascii="Times New Roman" w:cs="Times New Roman" w:eastAsia="Times New Roman" w:hAnsi="Times New Roman"/>
          <w:sz w:val="20"/>
          <w:szCs w:val="20"/>
          <w:color w:val="auto"/>
        </w:rPr>
        <w:t>Attn: General Counsel</w:t>
      </w:r>
    </w:p>
    <w:p>
      <w:pPr>
        <w:ind w:left="2220"/>
        <w:spacing w:after="0"/>
        <w:rPr>
          <w:sz w:val="20"/>
          <w:szCs w:val="20"/>
          <w:color w:val="auto"/>
        </w:rPr>
      </w:pPr>
      <w:r>
        <w:rPr>
          <w:rFonts w:ascii="Times New Roman" w:cs="Times New Roman" w:eastAsia="Times New Roman" w:hAnsi="Times New Roman"/>
          <w:sz w:val="20"/>
          <w:szCs w:val="20"/>
          <w:color w:val="auto"/>
        </w:rPr>
        <w:t>Email:  Legaldistribution@liprop.com</w:t>
      </w:r>
    </w:p>
    <w:p>
      <w:pPr>
        <w:spacing w:after="0" w:line="19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color w:val="auto"/>
        </w:rPr>
        <w:t>With a copy to:</w:t>
      </w:r>
    </w:p>
    <w:p>
      <w:pPr>
        <w:spacing w:after="0" w:line="21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color w:val="auto"/>
        </w:rPr>
        <w:t>Barack Ferrazzano Kirschbaum &amp; Nagelberg LLP</w:t>
      </w:r>
    </w:p>
    <w:p>
      <w:pPr>
        <w:spacing w:after="0" w:line="2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color w:val="auto"/>
        </w:rPr>
        <w:t>200 W. Madison St., Suite 3900</w:t>
      </w:r>
    </w:p>
    <w:p>
      <w:pPr>
        <w:ind w:left="2220"/>
        <w:spacing w:after="0"/>
        <w:rPr>
          <w:sz w:val="20"/>
          <w:szCs w:val="20"/>
          <w:color w:val="auto"/>
        </w:rPr>
      </w:pPr>
      <w:r>
        <w:rPr>
          <w:rFonts w:ascii="Times New Roman" w:cs="Times New Roman" w:eastAsia="Times New Roman" w:hAnsi="Times New Roman"/>
          <w:sz w:val="20"/>
          <w:szCs w:val="20"/>
          <w:color w:val="auto"/>
        </w:rPr>
        <w:t>Chicago, Illinois 60606</w:t>
      </w:r>
    </w:p>
    <w:p>
      <w:pPr>
        <w:ind w:left="2220"/>
        <w:spacing w:after="0"/>
        <w:rPr>
          <w:sz w:val="20"/>
          <w:szCs w:val="20"/>
          <w:color w:val="auto"/>
        </w:rPr>
      </w:pPr>
      <w:r>
        <w:rPr>
          <w:rFonts w:ascii="Times New Roman" w:cs="Times New Roman" w:eastAsia="Times New Roman" w:hAnsi="Times New Roman"/>
          <w:sz w:val="20"/>
          <w:szCs w:val="20"/>
          <w:color w:val="auto"/>
        </w:rPr>
        <w:t>Attention: Jeff Davidson, Esq.</w:t>
      </w:r>
    </w:p>
    <w:p>
      <w:pPr>
        <w:ind w:left="2220"/>
        <w:spacing w:after="0"/>
        <w:rPr>
          <w:sz w:val="20"/>
          <w:szCs w:val="20"/>
          <w:color w:val="auto"/>
        </w:rPr>
      </w:pPr>
      <w:r>
        <w:rPr>
          <w:rFonts w:ascii="Times New Roman" w:cs="Times New Roman" w:eastAsia="Times New Roman" w:hAnsi="Times New Roman"/>
          <w:sz w:val="20"/>
          <w:szCs w:val="20"/>
          <w:color w:val="auto"/>
        </w:rPr>
        <w:t>E-Mail: jeff.davidson@bfkn.com</w:t>
      </w:r>
    </w:p>
    <w:p>
      <w:pPr>
        <w:spacing w:after="0" w:line="190" w:lineRule="exact"/>
        <w:rPr>
          <w:sz w:val="20"/>
          <w:szCs w:val="20"/>
          <w:color w:val="auto"/>
        </w:rPr>
      </w:pPr>
    </w:p>
    <w:p>
      <w:pPr>
        <w:ind w:left="1460" w:hanging="369"/>
        <w:spacing w:after="0"/>
        <w:tabs>
          <w:tab w:leader="none" w:pos="1460" w:val="left"/>
        </w:tabs>
        <w:numPr>
          <w:ilvl w:val="0"/>
          <w:numId w:val="10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“Seller’s Reconciliation Statement”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5(a)(i)(3)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6" w:lineRule="exact"/>
        <w:rPr>
          <w:sz w:val="20"/>
          <w:szCs w:val="20"/>
          <w:color w:val="auto"/>
        </w:rPr>
      </w:pPr>
    </w:p>
    <w:p>
      <w:pPr>
        <w:ind w:left="1500" w:hanging="410"/>
        <w:spacing w:after="0" w:line="273" w:lineRule="auto"/>
        <w:rPr>
          <w:sz w:val="20"/>
          <w:szCs w:val="20"/>
          <w:color w:val="auto"/>
        </w:rPr>
      </w:pPr>
      <w:r>
        <w:rPr>
          <w:rFonts w:ascii="Times New Roman" w:cs="Times New Roman" w:eastAsia="Times New Roman" w:hAnsi="Times New Roman"/>
          <w:sz w:val="20"/>
          <w:szCs w:val="20"/>
          <w:color w:val="010000"/>
        </w:rPr>
        <w:t>(ggg)</w:t>
      </w:r>
      <w:r>
        <w:rPr>
          <w:rFonts w:ascii="Times New Roman" w:cs="Times New Roman" w:eastAsia="Times New Roman" w:hAnsi="Times New Roman"/>
          <w:sz w:val="20"/>
          <w:szCs w:val="20"/>
          <w:b w:val="1"/>
          <w:bCs w:val="1"/>
          <w:u w:val="single" w:color="auto"/>
          <w:color w:val="000000"/>
        </w:rPr>
        <w:t>“Survey”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shall mean, individually for each Property or collectively for all Properties as the context may required, those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certain surveys to be obtained by Buyer.</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010000"/>
        </w:rPr>
        <w:t>(hhh)</w:t>
      </w:r>
      <w:r>
        <w:rPr>
          <w:rFonts w:ascii="Times New Roman" w:cs="Times New Roman" w:eastAsia="Times New Roman" w:hAnsi="Times New Roman"/>
          <w:sz w:val="20"/>
          <w:szCs w:val="20"/>
          <w:b w:val="1"/>
          <w:bCs w:val="1"/>
          <w:u w:val="single" w:color="auto"/>
          <w:color w:val="000000"/>
        </w:rPr>
        <w:t>“Survival Period”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has the meaning ascribed to such term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Section 15(c)</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hereof.</w:t>
      </w:r>
    </w:p>
    <w:p>
      <w:pPr>
        <w:spacing w:after="0" w:line="216" w:lineRule="exact"/>
        <w:rPr>
          <w:sz w:val="20"/>
          <w:szCs w:val="20"/>
          <w:color w:val="auto"/>
        </w:rPr>
      </w:pPr>
    </w:p>
    <w:p>
      <w:pPr>
        <w:ind w:left="1460" w:hanging="369"/>
        <w:spacing w:after="0" w:line="273" w:lineRule="auto"/>
        <w:tabs>
          <w:tab w:leader="none" w:pos="1460" w:val="left"/>
        </w:tabs>
        <w:numPr>
          <w:ilvl w:val="0"/>
          <w:numId w:val="1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“Tenant” and “Tenants”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mean, individually or collectively, as the context may require, any Person leasing, using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occupying the Real Property or Improvements or any portion thereof pursuant to a Lease.</w:t>
      </w:r>
    </w:p>
    <w:p>
      <w:pPr>
        <w:spacing w:after="0" w:line="151"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1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“Tenant Estoppel Certificate”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the meaning ascribed to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2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010000"/>
        </w:rPr>
        <w:t>(kkk)</w:t>
      </w:r>
      <w:r>
        <w:rPr>
          <w:rFonts w:ascii="Times New Roman" w:cs="Times New Roman" w:eastAsia="Times New Roman" w:hAnsi="Times New Roman"/>
          <w:sz w:val="20"/>
          <w:szCs w:val="20"/>
          <w:b w:val="1"/>
          <w:bCs w:val="1"/>
          <w:u w:val="single" w:color="auto"/>
          <w:color w:val="000000"/>
        </w:rPr>
        <w:t>“Threshold Amount”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has the meaning ascribed to such term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Section 15(c)</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hereof.</w:t>
      </w:r>
    </w:p>
    <w:p>
      <w:pPr>
        <w:spacing w:after="0" w:line="216" w:lineRule="exact"/>
        <w:rPr>
          <w:sz w:val="20"/>
          <w:szCs w:val="20"/>
          <w:color w:val="auto"/>
        </w:rPr>
      </w:pPr>
    </w:p>
    <w:p>
      <w:pPr>
        <w:ind w:left="1460" w:hanging="369"/>
        <w:spacing w:after="0"/>
        <w:tabs>
          <w:tab w:leader="none" w:pos="1460" w:val="left"/>
        </w:tabs>
        <w:numPr>
          <w:ilvl w:val="0"/>
          <w:numId w:val="1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“Title Insurer”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mean Escrow Agent.</w:t>
      </w:r>
    </w:p>
    <w:p>
      <w:pPr>
        <w:spacing w:after="0" w:line="216" w:lineRule="exact"/>
        <w:rPr>
          <w:sz w:val="20"/>
          <w:szCs w:val="20"/>
          <w:color w:val="auto"/>
        </w:rPr>
      </w:pPr>
    </w:p>
    <w:p>
      <w:pPr>
        <w:jc w:val="both"/>
        <w:ind w:left="1660" w:hanging="560"/>
        <w:spacing w:after="0" w:line="250" w:lineRule="auto"/>
        <w:rPr>
          <w:sz w:val="20"/>
          <w:szCs w:val="20"/>
          <w:color w:val="auto"/>
        </w:rPr>
      </w:pPr>
      <w:r>
        <w:rPr>
          <w:rFonts w:ascii="Times New Roman" w:cs="Times New Roman" w:eastAsia="Times New Roman" w:hAnsi="Times New Roman"/>
          <w:sz w:val="20"/>
          <w:szCs w:val="20"/>
          <w:color w:val="010000"/>
        </w:rPr>
        <w:t>(mmm)</w:t>
      </w:r>
      <w:r>
        <w:rPr>
          <w:rFonts w:ascii="Times New Roman" w:cs="Times New Roman" w:eastAsia="Times New Roman" w:hAnsi="Times New Roman"/>
          <w:sz w:val="20"/>
          <w:szCs w:val="20"/>
          <w:b w:val="1"/>
          <w:bCs w:val="1"/>
          <w:u w:val="single" w:color="auto"/>
          <w:color w:val="000000"/>
        </w:rPr>
        <w:t>“Title Policy”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shall mean, individually for each Property or collectively for all Properties as the context may require, an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ALTA owner’s title insurance policy, or irrevocable and unconditional commitment to issue the same, in the amount of the Purchase Price, insuring, or committing to insure title in fee simple to the Real Property subject only to the Permitted Exceptions.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09" w:right="339" w:bottom="1440" w:gutter="0" w:footer="0" w:header="0"/>
        </w:sectPr>
      </w:pPr>
    </w:p>
    <w:bookmarkStart w:id="184" w:name="page185"/>
    <w:bookmarkEnd w:id="184"/>
    <w:p>
      <w:pPr>
        <w:ind w:left="1540" w:hanging="410"/>
        <w:spacing w:after="0" w:line="273" w:lineRule="auto"/>
        <w:rPr>
          <w:sz w:val="20"/>
          <w:szCs w:val="20"/>
          <w:color w:val="auto"/>
        </w:rPr>
      </w:pPr>
      <w:r>
        <w:rPr>
          <w:rFonts w:ascii="Times New Roman" w:cs="Times New Roman" w:eastAsia="Times New Roman" w:hAnsi="Times New Roman"/>
          <w:sz w:val="20"/>
          <w:szCs w:val="20"/>
          <w:color w:val="010000"/>
        </w:rPr>
        <w:t>(nnn)</w:t>
      </w:r>
      <w:r>
        <w:rPr>
          <w:rFonts w:ascii="Times New Roman" w:cs="Times New Roman" w:eastAsia="Times New Roman" w:hAnsi="Times New Roman"/>
          <w:sz w:val="20"/>
          <w:szCs w:val="20"/>
          <w:b w:val="1"/>
          <w:bCs w:val="1"/>
          <w:u w:val="single" w:color="auto"/>
          <w:color w:val="000000"/>
        </w:rPr>
        <w:t>“Title Report”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shall mean, individually for each Property or collectively for all Properties as the context may require,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those certain title reports to be obtained by Buyer.</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010000"/>
        </w:rPr>
        <w:t>(ooo)</w:t>
      </w:r>
      <w:r>
        <w:rPr>
          <w:rFonts w:ascii="Times New Roman" w:cs="Times New Roman" w:eastAsia="Times New Roman" w:hAnsi="Times New Roman"/>
          <w:sz w:val="20"/>
          <w:szCs w:val="20"/>
          <w:b w:val="1"/>
          <w:bCs w:val="1"/>
          <w:u w:val="single" w:color="auto"/>
          <w:color w:val="000000"/>
        </w:rPr>
        <w:t>“Violations”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has the meaning ascribed to such term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Section 6(e)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Section  </w:t>
      </w:r>
      <w:r>
        <w:rPr>
          <w:rFonts w:ascii="Times New Roman" w:cs="Times New Roman" w:eastAsia="Times New Roman" w:hAnsi="Times New Roman"/>
          <w:sz w:val="20"/>
          <w:szCs w:val="20"/>
          <w:b w:val="1"/>
          <w:bCs w:val="1"/>
          <w:color w:val="000000"/>
        </w:rPr>
        <w:t>Sale of Property and Exclusion of Assets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left="1500" w:right="20" w:hanging="369"/>
        <w:spacing w:after="0" w:line="266" w:lineRule="auto"/>
        <w:tabs>
          <w:tab w:leader="none" w:pos="1500" w:val="left"/>
        </w:tabs>
        <w:numPr>
          <w:ilvl w:val="0"/>
          <w:numId w:val="10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b w:val="1"/>
          <w:bCs w:val="1"/>
          <w:u w:val="single" w:color="auto"/>
          <w:color w:val="auto"/>
        </w:rPr>
        <w:t>Sale of Property</w:t>
      </w:r>
      <w:r>
        <w:rPr>
          <w:rFonts w:ascii="Times New Roman" w:cs="Times New Roman" w:eastAsia="Times New Roman" w:hAnsi="Times New Roman"/>
          <w:sz w:val="19"/>
          <w:szCs w:val="19"/>
          <w:color w:val="auto"/>
        </w:rPr>
        <w:t>. Subject to the terms of this Agreement, Seller agrees to sell, and Buyer agrees to purchase, the Property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for the Purchase Price (subject to the adjustments, prorations and credits provided for in this Agreement). </w:t>
      </w:r>
      <w:r>
        <w:rPr>
          <w:rFonts w:ascii="Times New Roman" w:cs="Times New Roman" w:eastAsia="Times New Roman" w:hAnsi="Times New Roman"/>
          <w:sz w:val="19"/>
          <w:szCs w:val="19"/>
          <w:b w:val="1"/>
          <w:bCs w:val="1"/>
          <w:color w:val="auto"/>
        </w:rPr>
        <w:t>TIME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SHALL</w:t>
      </w:r>
    </w:p>
    <w:p>
      <w:pPr>
        <w:ind w:left="1500" w:right="20"/>
        <w:spacing w:after="0" w:line="246" w:lineRule="auto"/>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b w:val="1"/>
          <w:bCs w:val="1"/>
          <w:color w:val="auto"/>
        </w:rPr>
        <w:t xml:space="preserve">BE OF THE ESSENCE WITH RESPECT TO BUYER’S AND SELLER’S OBLIGATIONS UNDER THIS AGREEMENT </w:t>
      </w:r>
      <w:r>
        <w:rPr>
          <w:rFonts w:ascii="Times New Roman" w:cs="Times New Roman" w:eastAsia="Times New Roman" w:hAnsi="Times New Roman"/>
          <w:sz w:val="20"/>
          <w:szCs w:val="20"/>
          <w:color w:val="auto"/>
        </w:rPr>
        <w:t>(subject to such adjournments of the Closing Date as are expressly permitted by this Agreement).</w:t>
      </w:r>
    </w:p>
    <w:p>
      <w:pPr>
        <w:spacing w:after="0" w:line="177" w:lineRule="exact"/>
        <w:rPr>
          <w:rFonts w:ascii="Times New Roman" w:cs="Times New Roman" w:eastAsia="Times New Roman" w:hAnsi="Times New Roman"/>
          <w:sz w:val="19"/>
          <w:szCs w:val="19"/>
          <w:color w:val="010000"/>
        </w:rPr>
      </w:pPr>
    </w:p>
    <w:p>
      <w:pPr>
        <w:jc w:val="both"/>
        <w:ind w:left="1500" w:hanging="369"/>
        <w:spacing w:after="0" w:line="256" w:lineRule="auto"/>
        <w:tabs>
          <w:tab w:leader="none" w:pos="1500"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Exclusion of Assets</w:t>
      </w:r>
      <w:r>
        <w:rPr>
          <w:rFonts w:ascii="Times New Roman" w:cs="Times New Roman" w:eastAsia="Times New Roman" w:hAnsi="Times New Roman"/>
          <w:sz w:val="20"/>
          <w:szCs w:val="20"/>
          <w:color w:val="auto"/>
        </w:rPr>
        <w:t>. Notwithstanding anything to the contrary contained in this Agreement, it is expressly agreed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hereto that the following items are expressly excluded from the assets to be sold to Buyer (collectively, the “</w:t>
      </w:r>
      <w:r>
        <w:rPr>
          <w:rFonts w:ascii="Times New Roman" w:cs="Times New Roman" w:eastAsia="Times New Roman" w:hAnsi="Times New Roman"/>
          <w:sz w:val="20"/>
          <w:szCs w:val="20"/>
          <w:b w:val="1"/>
          <w:bCs w:val="1"/>
          <w:u w:val="single" w:color="auto"/>
          <w:color w:val="auto"/>
        </w:rPr>
        <w:t>Excluded Assets</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010000"/>
        </w:rPr>
      </w:pPr>
    </w:p>
    <w:p>
      <w:pPr>
        <w:jc w:val="both"/>
        <w:ind w:left="3000" w:hanging="371"/>
        <w:spacing w:after="0" w:line="249" w:lineRule="auto"/>
        <w:tabs>
          <w:tab w:leader="none" w:pos="3000" w:val="left"/>
        </w:tabs>
        <w:numPr>
          <w:ilvl w:val="1"/>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Cash</w:t>
      </w:r>
      <w:r>
        <w:rPr>
          <w:rFonts w:ascii="Times New Roman" w:cs="Times New Roman" w:eastAsia="Times New Roman" w:hAnsi="Times New Roman"/>
          <w:sz w:val="20"/>
          <w:szCs w:val="20"/>
          <w:color w:val="auto"/>
        </w:rPr>
        <w:t>. All cash on hand or on deposit in any house bank, operating account or other account maintained in connection with the ownership, operation or management of the Property or any assets (subject to the terms and conditions of this Agreement with respect to any prepaid rent actually received by Seller and tenant security deposits actually held by Seller, if any);</w:t>
      </w:r>
    </w:p>
    <w:p>
      <w:pPr>
        <w:spacing w:after="0" w:line="179" w:lineRule="exact"/>
        <w:rPr>
          <w:rFonts w:ascii="Times New Roman" w:cs="Times New Roman" w:eastAsia="Times New Roman" w:hAnsi="Times New Roman"/>
          <w:sz w:val="20"/>
          <w:szCs w:val="20"/>
          <w:color w:val="010000"/>
        </w:rPr>
      </w:pPr>
    </w:p>
    <w:p>
      <w:pPr>
        <w:jc w:val="both"/>
        <w:ind w:left="3000" w:hanging="371"/>
        <w:spacing w:after="0" w:line="249" w:lineRule="auto"/>
        <w:tabs>
          <w:tab w:leader="none" w:pos="3000" w:val="left"/>
        </w:tabs>
        <w:numPr>
          <w:ilvl w:val="1"/>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Third Party Property</w:t>
      </w:r>
      <w:r>
        <w:rPr>
          <w:rFonts w:ascii="Times New Roman" w:cs="Times New Roman" w:eastAsia="Times New Roman" w:hAnsi="Times New Roman"/>
          <w:sz w:val="20"/>
          <w:szCs w:val="20"/>
          <w:color w:val="auto"/>
        </w:rPr>
        <w:t>. Any personal property, equipment, artwork, trademarks or other intellectual property or other assets which are (A) owned or leased by (x) the supplier or vendor under any Contract, (y) Tenants or (z) Seller’s property manager of the Property or (B) leased by Seller (including from any Affiliates);</w:t>
      </w:r>
    </w:p>
    <w:p>
      <w:pPr>
        <w:spacing w:after="0" w:line="179" w:lineRule="exact"/>
        <w:rPr>
          <w:rFonts w:ascii="Times New Roman" w:cs="Times New Roman" w:eastAsia="Times New Roman" w:hAnsi="Times New Roman"/>
          <w:sz w:val="20"/>
          <w:szCs w:val="20"/>
          <w:color w:val="010000"/>
        </w:rPr>
      </w:pPr>
    </w:p>
    <w:p>
      <w:pPr>
        <w:ind w:left="3000" w:right="20" w:hanging="371"/>
        <w:spacing w:after="0" w:line="269" w:lineRule="auto"/>
        <w:tabs>
          <w:tab w:leader="none" w:pos="3000" w:val="left"/>
        </w:tabs>
        <w:numPr>
          <w:ilvl w:val="1"/>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Insurance Claims</w:t>
      </w:r>
      <w:r>
        <w:rPr>
          <w:rFonts w:ascii="Times New Roman" w:cs="Times New Roman" w:eastAsia="Times New Roman" w:hAnsi="Times New Roman"/>
          <w:sz w:val="20"/>
          <w:szCs w:val="20"/>
          <w:color w:val="auto"/>
        </w:rPr>
        <w:t xml:space="preserve">. Any insurance claims or proceeds arising out of or relating to events that occur prior to the Closing Date subject to the terms of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010000"/>
        </w:rPr>
      </w:pPr>
    </w:p>
    <w:p>
      <w:pPr>
        <w:ind w:left="3000" w:hanging="371"/>
        <w:spacing w:after="0" w:line="269" w:lineRule="auto"/>
        <w:tabs>
          <w:tab w:leader="none" w:pos="3000" w:val="left"/>
        </w:tabs>
        <w:numPr>
          <w:ilvl w:val="1"/>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Claims Against Former Tenants</w:t>
      </w:r>
      <w:r>
        <w:rPr>
          <w:rFonts w:ascii="Times New Roman" w:cs="Times New Roman" w:eastAsia="Times New Roman" w:hAnsi="Times New Roman"/>
          <w:sz w:val="20"/>
          <w:szCs w:val="20"/>
          <w:color w:val="auto"/>
        </w:rPr>
        <w:t>. Any claims or proceeds arising out of or relating to claims of Seller against any other former tenants or occupants of any portion of the Property; and</w:t>
      </w:r>
    </w:p>
    <w:p>
      <w:pPr>
        <w:spacing w:after="0" w:line="159" w:lineRule="exact"/>
        <w:rPr>
          <w:rFonts w:ascii="Times New Roman" w:cs="Times New Roman" w:eastAsia="Times New Roman" w:hAnsi="Times New Roman"/>
          <w:sz w:val="20"/>
          <w:szCs w:val="20"/>
          <w:color w:val="010000"/>
        </w:rPr>
      </w:pPr>
    </w:p>
    <w:p>
      <w:pPr>
        <w:jc w:val="both"/>
        <w:ind w:left="3000" w:hanging="371"/>
        <w:spacing w:after="0" w:line="244" w:lineRule="auto"/>
        <w:tabs>
          <w:tab w:leader="none" w:pos="3000" w:val="left"/>
        </w:tabs>
        <w:numPr>
          <w:ilvl w:val="1"/>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Additional Reserved Seller Assets</w:t>
      </w:r>
      <w:r>
        <w:rPr>
          <w:rFonts w:ascii="Times New Roman" w:cs="Times New Roman" w:eastAsia="Times New Roman" w:hAnsi="Times New Roman"/>
          <w:sz w:val="20"/>
          <w:szCs w:val="20"/>
          <w:color w:val="auto"/>
        </w:rPr>
        <w:t>. Any proprietary or confidential materials (including any materials relating to the background or financial condition of a present or prior direct or indirect partner or member of Seller), the internal books and records of Seller relating, for example, to contributions and distributions prior to the Closing, any software, the names “BX”, “Blackstone”, “GPT”, “GPT Operating Partnership LP”, “Gramercy Property Trust”, “Revantage”, “Gateway”, “Link Industrial Properties”, “LIPROP”, “Link Logistics”, “Link”, “Link360” and any derivations thereof, and any trademarks, service marks, trade names, brand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5" w:name="page186"/>
    <w:bookmarkEnd w:id="185"/>
    <w:p>
      <w:pPr>
        <w:jc w:val="both"/>
        <w:ind w:left="3000"/>
        <w:spacing w:after="0" w:line="242" w:lineRule="auto"/>
        <w:rPr>
          <w:sz w:val="20"/>
          <w:szCs w:val="20"/>
          <w:color w:val="auto"/>
        </w:rPr>
      </w:pPr>
      <w:r>
        <w:rPr>
          <w:rFonts w:ascii="Times New Roman" w:cs="Times New Roman" w:eastAsia="Times New Roman" w:hAnsi="Times New Roman"/>
          <w:sz w:val="20"/>
          <w:szCs w:val="20"/>
          <w:color w:val="auto"/>
        </w:rPr>
        <w:t>marks, brand names, domain names, social media identifiers or sites (including, but not limited to, Facebook, Instagram, Twitter or Snapchat) trade dress or logos relating thereto, any development bonds, letters of credit or other collateral held by or posted with any Governmental Authority or other third party with respect to any improvement, subdivision or development obligations concerning the Property or any other real property, and any other intangible property that is not used exclusively in connection with the Property; provided, however, Buyer shall have fifteen (15) days following the Closing Date to remove, replace or take down any interior or exterior signage that includes any of the foregoing names or marks failing which Seller may remove such portion of the signage at Buyer’s expense upon ten (10) days prior written notice. The provisions of this Section shall survive the Closing without limitation.</w:t>
      </w:r>
    </w:p>
    <w:p>
      <w:pPr>
        <w:spacing w:after="0" w:line="192" w:lineRule="exact"/>
        <w:rPr>
          <w:sz w:val="20"/>
          <w:szCs w:val="20"/>
          <w:color w:val="auto"/>
        </w:rPr>
      </w:pPr>
    </w:p>
    <w:p>
      <w:pPr>
        <w:jc w:val="both"/>
        <w:ind w:left="3000" w:hanging="371"/>
        <w:spacing w:after="0" w:line="254" w:lineRule="auto"/>
        <w:tabs>
          <w:tab w:leader="none" w:pos="3000" w:val="left"/>
        </w:tabs>
        <w:numPr>
          <w:ilvl w:val="1"/>
          <w:numId w:val="1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Adjacent Property</w:t>
      </w:r>
      <w:r>
        <w:rPr>
          <w:rFonts w:ascii="Times New Roman" w:cs="Times New Roman" w:eastAsia="Times New Roman" w:hAnsi="Times New Roman"/>
          <w:sz w:val="20"/>
          <w:szCs w:val="20"/>
          <w:color w:val="auto"/>
        </w:rPr>
        <w:t>. Any property that is not solely and directly related to the Real Property, it being acknowledged and agreed that Seller may own other property adjacent (or in proximity) to the Real Property.</w:t>
      </w:r>
    </w:p>
    <w:p>
      <w:pPr>
        <w:spacing w:after="0" w:line="174" w:lineRule="exact"/>
        <w:rPr>
          <w:rFonts w:ascii="Times New Roman" w:cs="Times New Roman" w:eastAsia="Times New Roman" w:hAnsi="Times New Roman"/>
          <w:sz w:val="20"/>
          <w:szCs w:val="20"/>
          <w:color w:val="010000"/>
        </w:rPr>
      </w:pPr>
    </w:p>
    <w:p>
      <w:pPr>
        <w:jc w:val="both"/>
        <w:ind w:left="1500" w:hanging="369"/>
        <w:spacing w:after="0" w:line="254" w:lineRule="auto"/>
        <w:tabs>
          <w:tab w:leader="none" w:pos="1500"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Agreement is intended to be a single unitary agreement. Seller is required to sell all of the Property to Buyer pursuant to the terms and provisions of this Agreement, and Buyer is required to purchase all of the Property from Seller pursuant to the terms and provisions of this Agreement.</w:t>
      </w:r>
    </w:p>
    <w:p>
      <w:pPr>
        <w:spacing w:after="0" w:line="174" w:lineRule="exact"/>
        <w:rPr>
          <w:rFonts w:ascii="Times New Roman" w:cs="Times New Roman" w:eastAsia="Times New Roman" w:hAnsi="Times New Roman"/>
          <w:sz w:val="20"/>
          <w:szCs w:val="20"/>
          <w:color w:val="010000"/>
        </w:rPr>
      </w:pPr>
    </w:p>
    <w:p>
      <w:pPr>
        <w:ind w:left="1500" w:right="20" w:hanging="369"/>
        <w:spacing w:after="0" w:line="269" w:lineRule="auto"/>
        <w:tabs>
          <w:tab w:leader="none" w:pos="1500"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 Closing, subject to the terms of this Agreement, Seller agrees to convey to Buyer title to the Property as described in the Deed, subject only to the Permitted Exceptions.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Section  </w:t>
      </w:r>
      <w:r>
        <w:rPr>
          <w:rFonts w:ascii="Times New Roman" w:cs="Times New Roman" w:eastAsia="Times New Roman" w:hAnsi="Times New Roman"/>
          <w:sz w:val="20"/>
          <w:szCs w:val="20"/>
          <w:b w:val="1"/>
          <w:bCs w:val="1"/>
          <w:color w:val="000000"/>
        </w:rPr>
        <w:t>Payment of Purchase Price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left="1500" w:hanging="369"/>
        <w:spacing w:after="0" w:line="256" w:lineRule="auto"/>
        <w:tabs>
          <w:tab w:leader="none" w:pos="1500" w:val="left"/>
        </w:tabs>
        <w:numPr>
          <w:ilvl w:val="0"/>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Purchase Price</w:t>
      </w:r>
      <w:r>
        <w:rPr>
          <w:rFonts w:ascii="Times New Roman" w:cs="Times New Roman" w:eastAsia="Times New Roman" w:hAnsi="Times New Roman"/>
          <w:sz w:val="20"/>
          <w:szCs w:val="20"/>
          <w:color w:val="auto"/>
        </w:rPr>
        <w:t>. Buyer shall pay the Purchase Price to Seller in accordance with all the terms and conditions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Seller and Buyer hereby agree that the Purchase Price shall be allocated among the Properties in accordance with the Allocated Property Values.</w:t>
      </w:r>
    </w:p>
    <w:p>
      <w:pPr>
        <w:spacing w:after="0" w:line="168" w:lineRule="exact"/>
        <w:rPr>
          <w:rFonts w:ascii="Times New Roman" w:cs="Times New Roman" w:eastAsia="Times New Roman" w:hAnsi="Times New Roman"/>
          <w:sz w:val="20"/>
          <w:szCs w:val="20"/>
          <w:color w:val="010000"/>
        </w:rPr>
      </w:pPr>
    </w:p>
    <w:p>
      <w:pPr>
        <w:jc w:val="both"/>
        <w:ind w:left="1500" w:hanging="369"/>
        <w:spacing w:after="0" w:line="242" w:lineRule="auto"/>
        <w:tabs>
          <w:tab w:leader="none" w:pos="1500" w:val="left"/>
        </w:tabs>
        <w:numPr>
          <w:ilvl w:val="0"/>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Earnest Money</w:t>
      </w:r>
      <w:r>
        <w:rPr>
          <w:rFonts w:ascii="Times New Roman" w:cs="Times New Roman" w:eastAsia="Times New Roman" w:hAnsi="Times New Roman"/>
          <w:sz w:val="20"/>
          <w:szCs w:val="20"/>
          <w:color w:val="auto"/>
        </w:rPr>
        <w:t>. The Initial Earnest Money shall be delivered by Buyer to Escrow Agent within</w:t>
      </w:r>
      <w:r>
        <w:rPr>
          <w:rFonts w:ascii="Times New Roman" w:cs="Times New Roman" w:eastAsia="Times New Roman" w:hAnsi="Times New Roman"/>
          <w:sz w:val="20"/>
          <w:szCs w:val="20"/>
          <w:b w:val="1"/>
          <w:bCs w:val="1"/>
          <w:color w:val="auto"/>
        </w:rPr>
        <w:t xml:space="preserve"> two (2) Business Days </w:t>
      </w:r>
      <w:r>
        <w:rPr>
          <w:rFonts w:ascii="Times New Roman" w:cs="Times New Roman" w:eastAsia="Times New Roman" w:hAnsi="Times New Roman"/>
          <w:sz w:val="20"/>
          <w:szCs w:val="20"/>
          <w:color w:val="auto"/>
        </w:rPr>
        <w:t xml:space="preserve">after the execution and delivery to both parties of this Agreement, failing which, at Seller’s election delivered to Buyer in writing prior to the actual deposit of such amount by Buyer, this Agreement shall be deemed null and void and of no further force or effect. Unless this Agreement is otherwise terminated by Buyer pursuant to </w:t>
      </w:r>
      <w:r>
        <w:rPr>
          <w:rFonts w:ascii="Times New Roman" w:cs="Times New Roman" w:eastAsia="Times New Roman" w:hAnsi="Times New Roman"/>
          <w:sz w:val="20"/>
          <w:szCs w:val="20"/>
          <w:u w:val="single" w:color="auto"/>
          <w:color w:val="auto"/>
        </w:rPr>
        <w:t>Section 6(c)</w:t>
      </w:r>
      <w:r>
        <w:rPr>
          <w:rFonts w:ascii="Times New Roman" w:cs="Times New Roman" w:eastAsia="Times New Roman" w:hAnsi="Times New Roman"/>
          <w:sz w:val="20"/>
          <w:szCs w:val="20"/>
          <w:color w:val="auto"/>
        </w:rPr>
        <w:t xml:space="preserve"> herein, the Additional Earnest Money shall be delivered by Buyer to Escrow Agent within </w:t>
      </w:r>
      <w:r>
        <w:rPr>
          <w:rFonts w:ascii="Times New Roman" w:cs="Times New Roman" w:eastAsia="Times New Roman" w:hAnsi="Times New Roman"/>
          <w:sz w:val="20"/>
          <w:szCs w:val="20"/>
          <w:b w:val="1"/>
          <w:bCs w:val="1"/>
          <w:color w:val="auto"/>
        </w:rPr>
        <w:t>two (2) Business Days</w:t>
      </w:r>
      <w:r>
        <w:rPr>
          <w:rFonts w:ascii="Times New Roman" w:cs="Times New Roman" w:eastAsia="Times New Roman" w:hAnsi="Times New Roman"/>
          <w:sz w:val="20"/>
          <w:szCs w:val="20"/>
          <w:color w:val="auto"/>
        </w:rPr>
        <w:t xml:space="preserve"> after the expiration of the Examination Period, failing which, at Seller’s election delivered to Buyer in writing prior to the actual deposit of such amount by Buyer, this Agreement shall be deemed null and void and of no further force or effect, and the Initial Earnest Money shall be forfeited by Buyer and retained by Seller. The Earnest Money shall be deposited by Buyer in escrow with Escrow Agent, to be applied as part payment of the Purchase Price at the time the sale is closed, or disbursed as agreed upon in accordance with the terms of this Agreement. The Earnest Money shall be non-refundable to Buyer except as expressly provided in this Agreement.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6" w:name="page187"/>
    <w:bookmarkEnd w:id="186"/>
    <w:p>
      <w:pPr>
        <w:jc w:val="both"/>
        <w:ind w:left="1500" w:hanging="369"/>
        <w:spacing w:after="0" w:line="259" w:lineRule="auto"/>
        <w:tabs>
          <w:tab w:leader="none" w:pos="1500" w:val="left"/>
        </w:tabs>
        <w:numPr>
          <w:ilvl w:val="0"/>
          <w:numId w:val="1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 portion of the Earnest Money deposited by Buyer pursuant to </w:t>
      </w:r>
      <w:r>
        <w:rPr>
          <w:rFonts w:ascii="Times New Roman" w:cs="Times New Roman" w:eastAsia="Times New Roman" w:hAnsi="Times New Roman"/>
          <w:sz w:val="19"/>
          <w:szCs w:val="19"/>
          <w:u w:val="single" w:color="auto"/>
          <w:color w:val="auto"/>
        </w:rPr>
        <w:t>Section 4(b)</w:t>
      </w:r>
      <w:r>
        <w:rPr>
          <w:rFonts w:ascii="Times New Roman" w:cs="Times New Roman" w:eastAsia="Times New Roman" w:hAnsi="Times New Roman"/>
          <w:sz w:val="19"/>
          <w:szCs w:val="19"/>
          <w:color w:val="auto"/>
        </w:rPr>
        <w:t xml:space="preserve"> in the amount of ONE HUNDRED DOLLARS ($100) (the “</w:t>
      </w:r>
      <w:r>
        <w:rPr>
          <w:rFonts w:ascii="Times New Roman" w:cs="Times New Roman" w:eastAsia="Times New Roman" w:hAnsi="Times New Roman"/>
          <w:sz w:val="19"/>
          <w:szCs w:val="19"/>
          <w:b w:val="1"/>
          <w:bCs w:val="1"/>
          <w:u w:val="single" w:color="auto"/>
          <w:color w:val="auto"/>
        </w:rPr>
        <w:t>Independent Consideration</w:t>
      </w:r>
      <w:r>
        <w:rPr>
          <w:rFonts w:ascii="Times New Roman" w:cs="Times New Roman" w:eastAsia="Times New Roman" w:hAnsi="Times New Roman"/>
          <w:sz w:val="19"/>
          <w:szCs w:val="19"/>
          <w:color w:val="auto"/>
        </w:rPr>
        <w:t>”) shall be earned by Seller upon execution and delivery of this Agreement by Seller and Buyer. Seller and Buyer hereby mutually acknowledge and agree that the Independent Consideration represents adequate bargained for consideration for Seller’s execution and delivery of this Agreement and Buyer’s right to have inspected the Property pursuant to the terms of this Agreement. The Independent Consideration is in addition to and independent of any other consideration or payment provided for in this Agreement and is nonrefundable in all events. Upon the Closing or the termination of this Agreement, the Independent Consideration shall be paid to Seller.</w:t>
      </w:r>
    </w:p>
    <w:p>
      <w:pPr>
        <w:spacing w:after="0" w:line="168" w:lineRule="exact"/>
        <w:rPr>
          <w:sz w:val="20"/>
          <w:szCs w:val="20"/>
          <w:color w:val="auto"/>
        </w:rPr>
      </w:pPr>
    </w:p>
    <w:p>
      <w:pPr>
        <w:ind w:right="3940"/>
        <w:spacing w:after="0" w:line="273" w:lineRule="auto"/>
        <w:rPr>
          <w:sz w:val="20"/>
          <w:szCs w:val="20"/>
          <w:color w:val="auto"/>
        </w:rPr>
      </w:pPr>
      <w:r>
        <w:rPr>
          <w:rFonts w:ascii="Times New Roman" w:cs="Times New Roman" w:eastAsia="Times New Roman" w:hAnsi="Times New Roman"/>
          <w:sz w:val="20"/>
          <w:szCs w:val="20"/>
          <w:b w:val="1"/>
          <w:bCs w:val="1"/>
          <w:color w:val="010000"/>
        </w:rPr>
        <w:t xml:space="preserve">Section </w:t>
      </w:r>
      <w:r>
        <w:rPr>
          <w:rFonts w:ascii="Times New Roman" w:cs="Times New Roman" w:eastAsia="Times New Roman" w:hAnsi="Times New Roman"/>
          <w:sz w:val="20"/>
          <w:szCs w:val="20"/>
          <w:b w:val="1"/>
          <w:bCs w:val="1"/>
          <w:color w:val="000000"/>
        </w:rPr>
        <w:t>Proration of Income and Expenses and Payment of Costs and Recording Fees</w:t>
      </w:r>
      <w:r>
        <w:rPr>
          <w:rFonts w:ascii="Times New Roman" w:cs="Times New Roman" w:eastAsia="Times New Roman" w:hAnsi="Times New Roman"/>
          <w:sz w:val="20"/>
          <w:szCs w:val="20"/>
          <w:b w:val="1"/>
          <w:bCs w:val="1"/>
          <w:color w:val="010000"/>
        </w:rPr>
        <w:t xml:space="preserve"> 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500" w:hanging="369"/>
        <w:spacing w:after="0" w:line="242" w:lineRule="auto"/>
        <w:tabs>
          <w:tab w:leader="none" w:pos="1500" w:val="left"/>
        </w:tabs>
        <w:numPr>
          <w:ilvl w:val="0"/>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Proration of Income and Expenses</w:t>
      </w:r>
      <w:r>
        <w:rPr>
          <w:rFonts w:ascii="Times New Roman" w:cs="Times New Roman" w:eastAsia="Times New Roman" w:hAnsi="Times New Roman"/>
          <w:sz w:val="20"/>
          <w:szCs w:val="20"/>
          <w:color w:val="auto"/>
        </w:rPr>
        <w:t>. Unless otherwise provided below, the following are to be adjusted and prorated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between Seller and Buyer on a cash basis as of 12:01 A.M. on the Closing Date, based upon a 365-day year, with Buyer being deemed to be the owner of the Property during the entire day of the Closing Date and being entitled to receive all operating income of the Property, and being obligated to pay all operating expenses of the Property beginning on and following the Closing Date and the net amount thereof under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shall be added to (if such net amount is in Seller’s favor) or deducted from (if such net amount is in Buyer’s favor) the Purchase Price payable at Closing. Seller shall deliver to Buyer Seller’s adjustments and prorations no later than seven (7) Business Days prior to the Closing Date for Buyer to review and approve. Buyer and Seller shall agree upon the prorations no later than three (3) Business Days prior to the Closing Date. In the event that either (i) Buyer does not respond to Seller’s proposed prorations and adjustments or (ii) Seller and Buyer are unable to agree on the prorations and adjustments at least three (3) Business Days prior to the Closing Date, then Seller’s proposed prorations and adjustments shall govern the line items that Seller and Buyer have not been able to agree upon, and the parties shall re-adjust as set forth in </w:t>
      </w:r>
      <w:r>
        <w:rPr>
          <w:rFonts w:ascii="Times New Roman" w:cs="Times New Roman" w:eastAsia="Times New Roman" w:hAnsi="Times New Roman"/>
          <w:sz w:val="20"/>
          <w:szCs w:val="20"/>
          <w:u w:val="single" w:color="auto"/>
          <w:color w:val="auto"/>
        </w:rPr>
        <w:t>Section (d)</w:t>
      </w:r>
      <w:r>
        <w:rPr>
          <w:rFonts w:ascii="Times New Roman" w:cs="Times New Roman" w:eastAsia="Times New Roman" w:hAnsi="Times New Roman"/>
          <w:sz w:val="20"/>
          <w:szCs w:val="20"/>
          <w:color w:val="auto"/>
        </w:rPr>
        <w:t xml:space="preserve"> hereof:</w:t>
      </w:r>
    </w:p>
    <w:p>
      <w:pPr>
        <w:spacing w:after="0" w:line="19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010000"/>
        </w:rPr>
        <w:t>(i)</w:t>
      </w:r>
      <w:r>
        <w:rPr>
          <w:rFonts w:ascii="Times New Roman" w:cs="Times New Roman" w:eastAsia="Times New Roman" w:hAnsi="Times New Roman"/>
          <w:sz w:val="20"/>
          <w:szCs w:val="20"/>
          <w:u w:val="single" w:color="auto"/>
          <w:color w:val="000000"/>
        </w:rPr>
        <w:t>Base Rents and Additional Rents</w:t>
      </w:r>
      <w:r>
        <w:rPr>
          <w:rFonts w:ascii="Times New Roman" w:cs="Times New Roman" w:eastAsia="Times New Roman" w:hAnsi="Times New Roman"/>
          <w:sz w:val="20"/>
          <w:szCs w:val="20"/>
          <w:color w:val="000000"/>
        </w:rPr>
        <w:t>.</w:t>
      </w:r>
    </w:p>
    <w:p>
      <w:pPr>
        <w:spacing w:after="0" w:line="212" w:lineRule="exact"/>
        <w:rPr>
          <w:sz w:val="20"/>
          <w:szCs w:val="20"/>
          <w:color w:val="auto"/>
        </w:rPr>
      </w:pPr>
    </w:p>
    <w:p>
      <w:pPr>
        <w:jc w:val="both"/>
        <w:ind w:left="3000" w:hanging="371"/>
        <w:spacing w:after="0" w:line="256" w:lineRule="auto"/>
        <w:tabs>
          <w:tab w:leader="none" w:pos="3000" w:val="left"/>
        </w:tabs>
        <w:numPr>
          <w:ilvl w:val="0"/>
          <w:numId w:val="11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Prorations of Rents; Delinquent Rents</w:t>
      </w:r>
      <w:r>
        <w:rPr>
          <w:rFonts w:ascii="Times New Roman" w:cs="Times New Roman" w:eastAsia="Times New Roman" w:hAnsi="Times New Roman"/>
          <w:sz w:val="19"/>
          <w:szCs w:val="19"/>
          <w:color w:val="auto"/>
        </w:rPr>
        <w:t>. All base rents (collectively, “</w:t>
      </w:r>
      <w:r>
        <w:rPr>
          <w:rFonts w:ascii="Times New Roman" w:cs="Times New Roman" w:eastAsia="Times New Roman" w:hAnsi="Times New Roman"/>
          <w:sz w:val="19"/>
          <w:szCs w:val="19"/>
          <w:b w:val="1"/>
          <w:bCs w:val="1"/>
          <w:u w:val="single" w:color="auto"/>
          <w:color w:val="auto"/>
        </w:rPr>
        <w:t>Base Rents</w:t>
      </w:r>
      <w:r>
        <w:rPr>
          <w:rFonts w:ascii="Times New Roman" w:cs="Times New Roman" w:eastAsia="Times New Roman" w:hAnsi="Times New Roman"/>
          <w:sz w:val="19"/>
          <w:szCs w:val="19"/>
          <w:color w:val="auto"/>
        </w:rPr>
        <w:t>”) and Additional Rent (as hereinafter defined) (Base Rents and Additional Rent being together referred to herein as “</w:t>
      </w:r>
      <w:r>
        <w:rPr>
          <w:rFonts w:ascii="Times New Roman" w:cs="Times New Roman" w:eastAsia="Times New Roman" w:hAnsi="Times New Roman"/>
          <w:sz w:val="19"/>
          <w:szCs w:val="19"/>
          <w:b w:val="1"/>
          <w:bCs w:val="1"/>
          <w:u w:val="single" w:color="auto"/>
          <w:color w:val="auto"/>
        </w:rPr>
        <w:t>Rents</w:t>
      </w:r>
      <w:r>
        <w:rPr>
          <w:rFonts w:ascii="Times New Roman" w:cs="Times New Roman" w:eastAsia="Times New Roman" w:hAnsi="Times New Roman"/>
          <w:sz w:val="19"/>
          <w:szCs w:val="19"/>
          <w:color w:val="auto"/>
        </w:rPr>
        <w:t xml:space="preserve">”) paid by Tenants in connection with their Leases, security deposits (except as hereinafter provided) and other tenant charges shall be prorated as provided in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Seller shall deliver or provide a credit in an amount equal to all prepaid Rents known to apply to the period from and after the Closing Date to Buyer on the Closing Date. Rents that are delinquent (or payable but unpaid) as of the Closing Date shall not be prorated on the Closing Date. Rather, Buyer shall cause any such delinquent rent (or payable but unpaid rent) for the period prior to Closing to be remitted to Seller if, as and when collected, and Buyer shall use commercially reasonable efforts to collect the same in the ordinary course of Buyer’s operations. To the extent Buyer receives payment of Rents (or income in connection with other tenant charges) on or after the Closing Date, such payments shall be applied first toward the Rent (or other tenant charge) for the month in which the Closing occurs, then to the Rent (or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7" w:name="page188"/>
    <w:bookmarkEnd w:id="187"/>
    <w:p>
      <w:pPr>
        <w:jc w:val="both"/>
        <w:ind w:left="2960"/>
        <w:spacing w:after="0" w:line="241" w:lineRule="auto"/>
        <w:rPr>
          <w:sz w:val="20"/>
          <w:szCs w:val="20"/>
          <w:color w:val="auto"/>
        </w:rPr>
      </w:pPr>
      <w:r>
        <w:rPr>
          <w:rFonts w:ascii="Times New Roman" w:cs="Times New Roman" w:eastAsia="Times New Roman" w:hAnsi="Times New Roman"/>
          <w:sz w:val="20"/>
          <w:szCs w:val="20"/>
          <w:color w:val="auto"/>
        </w:rPr>
        <w:t>other tenant charges) owed to Buyer in connection with the applicable Lease or other document for which such payments are received, and then to any rents (or other tenant charges) owed to Seller, which shall be promptly delivered by Buyer to Seller; provided, however, that any year-end or similar reconciliation payment shall be allocated as hereinafter provided. Buyer may not waive any delinquent (or unpaid) rents or modify a Lease so as to reduce or otherwise affect amounts owed thereunder for any period in which Seller is entitled to receive a share of charges or amounts without first obtaining Seller’s written consent. With respect to delinquent or other uncollected Rents and any other amounts or other rights of any kind respecting tenants who are no longer tenants of the Property as of the Closing Date, Seller shall retain all of the rights relating thereto. The term “</w:t>
      </w:r>
      <w:r>
        <w:rPr>
          <w:rFonts w:ascii="Times New Roman" w:cs="Times New Roman" w:eastAsia="Times New Roman" w:hAnsi="Times New Roman"/>
          <w:sz w:val="20"/>
          <w:szCs w:val="20"/>
          <w:b w:val="1"/>
          <w:bCs w:val="1"/>
          <w:u w:val="single" w:color="auto"/>
          <w:color w:val="auto"/>
        </w:rPr>
        <w:t>Additional Rent</w:t>
      </w:r>
      <w:r>
        <w:rPr>
          <w:rFonts w:ascii="Times New Roman" w:cs="Times New Roman" w:eastAsia="Times New Roman" w:hAnsi="Times New Roman"/>
          <w:sz w:val="20"/>
          <w:szCs w:val="20"/>
          <w:color w:val="auto"/>
        </w:rPr>
        <w:t>” shall mean amounts payable under any Lease (A) to reimburse or pay landlord for so-called common area maintenance or “CAM” charges and management fees, (B) to reimburse landlord for real estate taxes, utilities, association fees, operating expenses, capital improvements, labor costs or cost of living or porter’s wages, insurance or other expenses of the Property, or (C) that are otherwise in addition to Base Rent.</w:t>
      </w:r>
    </w:p>
    <w:p>
      <w:pPr>
        <w:spacing w:after="0" w:line="196" w:lineRule="exact"/>
        <w:rPr>
          <w:sz w:val="20"/>
          <w:szCs w:val="20"/>
          <w:color w:val="auto"/>
        </w:rPr>
      </w:pPr>
    </w:p>
    <w:p>
      <w:pPr>
        <w:jc w:val="both"/>
        <w:ind w:left="2960" w:hanging="371"/>
        <w:spacing w:after="0" w:line="246" w:lineRule="auto"/>
        <w:tabs>
          <w:tab w:leader="none" w:pos="2960"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Security Deposits.</w:t>
      </w:r>
      <w:r>
        <w:rPr>
          <w:rFonts w:ascii="Times New Roman" w:cs="Times New Roman" w:eastAsia="Times New Roman" w:hAnsi="Times New Roman"/>
          <w:sz w:val="20"/>
          <w:szCs w:val="20"/>
          <w:color w:val="auto"/>
        </w:rPr>
        <w:t xml:space="preserve"> Seller shall deliver or provide a credit in an amount equal to all refundable cash security deposits (to the extent the foregoing were made by Tenants and are not applied in accordance with this Agreement or forfeited prior to the Closing) to Buyer on the Closing Date. A list of the unapplied tenant security deposits held by Seller under the Leases as of the Effective Date is set forth on </w:t>
      </w:r>
      <w:r>
        <w:rPr>
          <w:rFonts w:ascii="Times New Roman" w:cs="Times New Roman" w:eastAsia="Times New Roman" w:hAnsi="Times New Roman"/>
          <w:sz w:val="20"/>
          <w:szCs w:val="20"/>
          <w:b w:val="1"/>
          <w:bCs w:val="1"/>
          <w:u w:val="single" w:color="auto"/>
          <w:color w:val="auto"/>
        </w:rPr>
        <w:t>Schedule 5(a)</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010000"/>
        </w:rPr>
      </w:pPr>
    </w:p>
    <w:p>
      <w:pPr>
        <w:jc w:val="both"/>
        <w:ind w:left="2960" w:hanging="371"/>
        <w:spacing w:after="0" w:line="254" w:lineRule="auto"/>
        <w:tabs>
          <w:tab w:leader="none" w:pos="2960" w:val="left"/>
        </w:tabs>
        <w:numPr>
          <w:ilvl w:val="0"/>
          <w:numId w:val="11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Tenant Reconciliations – Year of Closing</w:t>
      </w:r>
      <w:r>
        <w:rPr>
          <w:rFonts w:ascii="Times New Roman" w:cs="Times New Roman" w:eastAsia="Times New Roman" w:hAnsi="Times New Roman"/>
          <w:sz w:val="19"/>
          <w:szCs w:val="19"/>
          <w:color w:val="auto"/>
        </w:rPr>
        <w:t>. Seller shall determine the amounts referenced in such clauses (A) and (B) of the definition of “Additional Rent” actually paid or incurred by Seller with respect to the portion of the year of Closing during which Seller owned the Property (“</w:t>
      </w:r>
      <w:r>
        <w:rPr>
          <w:rFonts w:ascii="Times New Roman" w:cs="Times New Roman" w:eastAsia="Times New Roman" w:hAnsi="Times New Roman"/>
          <w:sz w:val="19"/>
          <w:szCs w:val="19"/>
          <w:b w:val="1"/>
          <w:bCs w:val="1"/>
          <w:u w:val="single" w:color="auto"/>
          <w:color w:val="auto"/>
        </w:rPr>
        <w:t>Seller’s Actual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Reimbursable Tenant Expenses</w:t>
      </w:r>
      <w:r>
        <w:rPr>
          <w:rFonts w:ascii="Times New Roman" w:cs="Times New Roman" w:eastAsia="Times New Roman" w:hAnsi="Times New Roman"/>
          <w:sz w:val="19"/>
          <w:szCs w:val="19"/>
          <w:color w:val="auto"/>
        </w:rPr>
        <w:t>”) and the Additional Rent for such actually paid to Seller by Tenants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as estimated expense payments) with respect to the portion of the year of Closing during which Seller owned the Property (“</w:t>
      </w:r>
      <w:r>
        <w:rPr>
          <w:rFonts w:ascii="Times New Roman" w:cs="Times New Roman" w:eastAsia="Times New Roman" w:hAnsi="Times New Roman"/>
          <w:sz w:val="19"/>
          <w:szCs w:val="19"/>
          <w:b w:val="1"/>
          <w:bCs w:val="1"/>
          <w:u w:val="single" w:color="auto"/>
          <w:color w:val="auto"/>
        </w:rPr>
        <w:t>Seller’s Actual Tenant Reimbursements</w:t>
      </w:r>
      <w:r>
        <w:rPr>
          <w:rFonts w:ascii="Times New Roman" w:cs="Times New Roman" w:eastAsia="Times New Roman" w:hAnsi="Times New Roman"/>
          <w:sz w:val="19"/>
          <w:szCs w:val="19"/>
          <w:color w:val="auto"/>
        </w:rPr>
        <w:t xml:space="preserve">”). On or before the date that is </w:t>
      </w:r>
      <w:r>
        <w:rPr>
          <w:rFonts w:ascii="Times New Roman" w:cs="Times New Roman" w:eastAsia="Times New Roman" w:hAnsi="Times New Roman"/>
          <w:sz w:val="19"/>
          <w:szCs w:val="19"/>
          <w:b w:val="1"/>
          <w:bCs w:val="1"/>
          <w:color w:val="auto"/>
        </w:rPr>
        <w:t>ninety (90) days</w:t>
      </w:r>
      <w:r>
        <w:rPr>
          <w:rFonts w:ascii="Times New Roman" w:cs="Times New Roman" w:eastAsia="Times New Roman" w:hAnsi="Times New Roman"/>
          <w:sz w:val="19"/>
          <w:szCs w:val="19"/>
          <w:color w:val="auto"/>
        </w:rPr>
        <w:t xml:space="preserve"> after the Closing Date, Seller shall deliver to Buyer a reconciliation statement (“</w:t>
      </w:r>
      <w:r>
        <w:rPr>
          <w:rFonts w:ascii="Times New Roman" w:cs="Times New Roman" w:eastAsia="Times New Roman" w:hAnsi="Times New Roman"/>
          <w:sz w:val="19"/>
          <w:szCs w:val="19"/>
          <w:b w:val="1"/>
          <w:bCs w:val="1"/>
          <w:u w:val="single" w:color="auto"/>
          <w:color w:val="auto"/>
        </w:rPr>
        <w:t>Seller’s Reconciliation Statement</w:t>
      </w:r>
      <w:r>
        <w:rPr>
          <w:rFonts w:ascii="Times New Roman" w:cs="Times New Roman" w:eastAsia="Times New Roman" w:hAnsi="Times New Roman"/>
          <w:sz w:val="19"/>
          <w:szCs w:val="19"/>
          <w:color w:val="auto"/>
        </w:rPr>
        <w:t>”) setting forth (i) Seller’s Actual Reimbursable Tenant Expenses, (ii) Seller’s Actual Tenant Reimbursements, and (iii) a calculation of the difference, if any, between the two (</w:t>
      </w:r>
      <w:r>
        <w:rPr>
          <w:rFonts w:ascii="Times New Roman" w:cs="Times New Roman" w:eastAsia="Times New Roman" w:hAnsi="Times New Roman"/>
          <w:sz w:val="19"/>
          <w:szCs w:val="19"/>
          <w:u w:val="single" w:color="auto"/>
          <w:color w:val="auto"/>
        </w:rPr>
        <w:t>i.e.</w:t>
      </w:r>
      <w:r>
        <w:rPr>
          <w:rFonts w:ascii="Times New Roman" w:cs="Times New Roman" w:eastAsia="Times New Roman" w:hAnsi="Times New Roman"/>
          <w:sz w:val="19"/>
          <w:szCs w:val="19"/>
          <w:color w:val="auto"/>
        </w:rPr>
        <w:t>, establishing that Seller’s Actual Reimbursable Tenant Expenses were either more or less than or equal to Seller’s Actual Tenant Reimbursements). Any amount due Seller pursuant to the foregoing calculation (in the event Seller’s Actual Tenant Reimbursements are less than Seller’s Actual Reimbursable Tenant Expenses) or Buyer (in the event Seller’s Actual Tenant Reimbursements are more than Seller’s Actual Reimbursable Tenant Expenses), as the case may be, shall be paid by Buyer to Seller or by Seller to Buyer, as the case may be, within thirty (30) days after delivery of Seller’s Reconciliation Statement to Buyer, and Buyer shall be responsible for any amounts for such reconciliation period that are owed to any Tenants. If Buyer has directly or indirectly transferred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3" w:right="339" w:bottom="1440" w:gutter="0" w:footer="0" w:header="0"/>
        </w:sectPr>
      </w:pPr>
    </w:p>
    <w:bookmarkStart w:id="188" w:name="page189"/>
    <w:bookmarkEnd w:id="188"/>
    <w:p>
      <w:pPr>
        <w:jc w:val="both"/>
        <w:ind w:left="2960"/>
        <w:spacing w:after="0" w:line="245" w:lineRule="auto"/>
        <w:rPr>
          <w:sz w:val="20"/>
          <w:szCs w:val="20"/>
          <w:color w:val="auto"/>
        </w:rPr>
      </w:pPr>
      <w:r>
        <w:rPr>
          <w:rFonts w:ascii="Times New Roman" w:cs="Times New Roman" w:eastAsia="Times New Roman" w:hAnsi="Times New Roman"/>
          <w:sz w:val="20"/>
          <w:szCs w:val="20"/>
          <w:color w:val="auto"/>
        </w:rPr>
        <w:t xml:space="preserve">its interest in any part of the Property to a successor-in-interest or assignee prior to such date, then, on or before the transfer of such interest, Buyer shall (i) in writing expressly obligate such successor-in-interest or assignee to be bound by the provisions of this </w:t>
      </w:r>
      <w:r>
        <w:rPr>
          <w:rFonts w:ascii="Times New Roman" w:cs="Times New Roman" w:eastAsia="Times New Roman" w:hAnsi="Times New Roman"/>
          <w:sz w:val="20"/>
          <w:szCs w:val="20"/>
          <w:u w:val="single" w:color="auto"/>
          <w:color w:val="auto"/>
        </w:rPr>
        <w:t>Section 5(a)(i)(3)</w:t>
      </w:r>
      <w:r>
        <w:rPr>
          <w:rFonts w:ascii="Times New Roman" w:cs="Times New Roman" w:eastAsia="Times New Roman" w:hAnsi="Times New Roman"/>
          <w:sz w:val="20"/>
          <w:szCs w:val="20"/>
          <w:color w:val="auto"/>
        </w:rPr>
        <w:t>, and (ii) deliver written notice of such transfer to Seller, and thereafter Seller shall make the deliveries specified above with respect to the Property to Buyer’s successor-in-interest or assignee. Seller’s Reconciliation Statement shall be final and binding for purposes of this Agreement.</w:t>
      </w:r>
    </w:p>
    <w:p>
      <w:pPr>
        <w:spacing w:after="0" w:line="184" w:lineRule="exact"/>
        <w:rPr>
          <w:sz w:val="20"/>
          <w:szCs w:val="20"/>
          <w:color w:val="auto"/>
        </w:rPr>
      </w:pPr>
    </w:p>
    <w:p>
      <w:pPr>
        <w:jc w:val="both"/>
        <w:ind w:left="2960" w:hanging="371"/>
        <w:spacing w:after="0" w:line="241" w:lineRule="auto"/>
        <w:tabs>
          <w:tab w:leader="none" w:pos="2960" w:val="left"/>
        </w:tabs>
        <w:numPr>
          <w:ilvl w:val="2"/>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Tenant Reconciliations – Years Prior to Closing</w:t>
      </w:r>
      <w:r>
        <w:rPr>
          <w:rFonts w:ascii="Times New Roman" w:cs="Times New Roman" w:eastAsia="Times New Roman" w:hAnsi="Times New Roman"/>
          <w:sz w:val="20"/>
          <w:szCs w:val="20"/>
          <w:color w:val="auto"/>
        </w:rPr>
        <w:t>. Seller shall be responsible for the reconciliation with Tenants of Additional Rent and Tenant reimbursements thereof for any calendar year prior to the year in which the Closing takes place. If the amount of Tenant reimbursements collected by Seller for such prior years is less than the amount of costs paid by Seller for such period in connection with the expenses used to calculate the Additional Rent (or less than the amount that Seller is entitled to recover under the terms of the Leases), then Seller shall be entitled to bill such Tenants directly and collect and retain any such amounts due from Tenants. If the amount of Tenant reimbursements collected by Seller for such prior calendar year exceeds the amount of costs paid by Seller with respect to such period (or the amount that Seller is entitled to recover under the terms of the Leases), then, to the extent required under the terms of the Leases, Seller shall remit such excess amounts to the applicable Tenants. In connection with the foregoing, Seller shall be permitted to make and retain copies of all Leases and all billings concerning Tenant reimbursements for such prior years, and Buyer covenants and agrees to provide Seller with information reasonably requested by Seller pertaining to such Tenant reimbursements (and/or otherwise relating to this Section 5), and to otherwise reasonably cooperate with Seller (at no material out-of-pocket cost to Buyer) for the purpose of enabling Seller to adequately respond to any claim by Tenants with respect to Tenant reimbursements previously paid by such Tenants.</w:t>
      </w:r>
    </w:p>
    <w:p>
      <w:pPr>
        <w:spacing w:after="0" w:line="191" w:lineRule="exact"/>
        <w:rPr>
          <w:rFonts w:ascii="Times New Roman" w:cs="Times New Roman" w:eastAsia="Times New Roman" w:hAnsi="Times New Roman"/>
          <w:sz w:val="20"/>
          <w:szCs w:val="20"/>
          <w:color w:val="010000"/>
        </w:rPr>
      </w:pPr>
    </w:p>
    <w:p>
      <w:pPr>
        <w:ind w:left="2960" w:hanging="746"/>
        <w:spacing w:after="0"/>
        <w:tabs>
          <w:tab w:leader="none" w:pos="2960" w:val="left"/>
        </w:tabs>
        <w:numPr>
          <w:ilvl w:val="1"/>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Intentionally Omitted.</w:t>
      </w:r>
    </w:p>
    <w:p>
      <w:pPr>
        <w:spacing w:after="0" w:line="215" w:lineRule="exact"/>
        <w:rPr>
          <w:rFonts w:ascii="Times New Roman" w:cs="Times New Roman" w:eastAsia="Times New Roman" w:hAnsi="Times New Roman"/>
          <w:sz w:val="20"/>
          <w:szCs w:val="20"/>
          <w:color w:val="010000"/>
        </w:rPr>
      </w:pPr>
    </w:p>
    <w:p>
      <w:pPr>
        <w:ind w:left="2000" w:hanging="535"/>
        <w:spacing w:after="0"/>
        <w:tabs>
          <w:tab w:leader="none" w:pos="2000"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provisions of this </w:t>
      </w:r>
      <w:r>
        <w:rPr>
          <w:rFonts w:ascii="Times New Roman" w:cs="Times New Roman" w:eastAsia="Times New Roman" w:hAnsi="Times New Roman"/>
          <w:sz w:val="20"/>
          <w:szCs w:val="20"/>
          <w:u w:val="single" w:color="auto"/>
          <w:color w:val="auto"/>
        </w:rPr>
        <w:t>Section 5(a)(i)</w:t>
      </w:r>
      <w:r>
        <w:rPr>
          <w:rFonts w:ascii="Times New Roman" w:cs="Times New Roman" w:eastAsia="Times New Roman" w:hAnsi="Times New Roman"/>
          <w:sz w:val="20"/>
          <w:szCs w:val="20"/>
          <w:color w:val="auto"/>
        </w:rPr>
        <w:t xml:space="preserve"> shall survive the Closing.</w:t>
      </w:r>
    </w:p>
    <w:p>
      <w:pPr>
        <w:spacing w:after="0" w:line="216" w:lineRule="exact"/>
        <w:rPr>
          <w:sz w:val="20"/>
          <w:szCs w:val="20"/>
          <w:color w:val="auto"/>
        </w:rPr>
      </w:pPr>
    </w:p>
    <w:p>
      <w:pPr>
        <w:jc w:val="both"/>
        <w:ind w:left="2280" w:hanging="235"/>
        <w:spacing w:after="0" w:line="242" w:lineRule="auto"/>
        <w:rPr>
          <w:sz w:val="20"/>
          <w:szCs w:val="20"/>
          <w:color w:val="auto"/>
        </w:rPr>
      </w:pPr>
      <w:r>
        <w:rPr>
          <w:rFonts w:ascii="Times New Roman" w:cs="Times New Roman" w:eastAsia="Times New Roman" w:hAnsi="Times New Roman"/>
          <w:sz w:val="20"/>
          <w:szCs w:val="20"/>
          <w:color w:val="010000"/>
        </w:rPr>
        <w:t>(ii)</w:t>
      </w:r>
      <w:r>
        <w:rPr>
          <w:rFonts w:ascii="Times New Roman" w:cs="Times New Roman" w:eastAsia="Times New Roman" w:hAnsi="Times New Roman"/>
          <w:sz w:val="20"/>
          <w:szCs w:val="20"/>
          <w:u w:val="single" w:color="auto"/>
          <w:color w:val="000000"/>
        </w:rPr>
        <w:t>Taxes</w:t>
      </w:r>
      <w:r>
        <w:rPr>
          <w:rFonts w:ascii="Times New Roman" w:cs="Times New Roman" w:eastAsia="Times New Roman" w:hAnsi="Times New Roman"/>
          <w:sz w:val="20"/>
          <w:szCs w:val="20"/>
          <w:color w:val="000000"/>
        </w:rPr>
        <w:t>. All real estate and personal property taxes and assessments with respect to the Property (other than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such taxes or assessments which are payable by Tenants as Additional Rent to landlord pursuant to such Tenants’ Leases, for which no adjustment shall be made) shall be prorated for the current year on a cash basis between Seller and Buyer as of the Closing Date, with the maximum discount allowed by applicable law (on the basis of the actual number of days elapsed over the applicable period). In no event shall Seller be charged with or be responsible for any increase in the taxes on the Property resulting from the sale of the Property contemplated by this Agreement or following Closing, any change in use of the Property on or after the Closing Date, or any improvements made or leases entered into on or after the Closing Date. If any taxes or assessments on the Property covered by this paragraph are payable in installments, then the installment allocable to the period in which the Closing occurs shall be prorated as of the Closing Date (with Buyer being obligated to pay that portion of such installment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3" w:right="339" w:bottom="1440" w:gutter="0" w:footer="0" w:header="0"/>
        </w:sectPr>
      </w:pPr>
    </w:p>
    <w:bookmarkStart w:id="189" w:name="page190"/>
    <w:bookmarkEnd w:id="189"/>
    <w:p>
      <w:pPr>
        <w:jc w:val="both"/>
        <w:ind w:left="2220"/>
        <w:spacing w:after="0" w:line="242" w:lineRule="auto"/>
        <w:rPr>
          <w:sz w:val="20"/>
          <w:szCs w:val="20"/>
          <w:color w:val="auto"/>
        </w:rPr>
      </w:pPr>
      <w:r>
        <w:rPr>
          <w:rFonts w:ascii="Times New Roman" w:cs="Times New Roman" w:eastAsia="Times New Roman" w:hAnsi="Times New Roman"/>
          <w:sz w:val="20"/>
          <w:szCs w:val="20"/>
          <w:color w:val="auto"/>
        </w:rPr>
        <w:t>attributable to the period on and after the Closing Date, as well as all installments coming due on or after the Closing Date). If Closing shall occur before the actual taxes and assessments payable during the year in which Closing occurs are known, the apportionment of taxes and assessments covered by this paragraph shall be upon the basis of taxes for the Property payable during the immediately preceding tax year, calculated using the maximum discount allowed by law; provided, however, that, if the taxes and assessments covered by this paragraph payable during the year in which Closing occurs are thereafter determined to be more or less than the taxes payable during the preceding year, Seller and Buyer shall promptly (but no later than December 31 of the year of the Closing) adjust the proration of such taxes and assessments, and Seller or Buyer, as the case may be, shall pay to the other any amount required as a result of such adjustment; this covenant shall survive the Closing until December 31 of the year of Closing.</w:t>
      </w:r>
    </w:p>
    <w:p>
      <w:pPr>
        <w:spacing w:after="0" w:line="192" w:lineRule="exact"/>
        <w:rPr>
          <w:sz w:val="20"/>
          <w:szCs w:val="20"/>
          <w:color w:val="auto"/>
        </w:rPr>
      </w:pPr>
    </w:p>
    <w:p>
      <w:pPr>
        <w:jc w:val="both"/>
        <w:ind w:left="2320" w:hanging="286"/>
        <w:spacing w:after="0" w:line="242" w:lineRule="auto"/>
        <w:rPr>
          <w:sz w:val="20"/>
          <w:szCs w:val="20"/>
          <w:color w:val="auto"/>
        </w:rPr>
      </w:pPr>
      <w:r>
        <w:rPr>
          <w:rFonts w:ascii="Times New Roman" w:cs="Times New Roman" w:eastAsia="Times New Roman" w:hAnsi="Times New Roman"/>
          <w:sz w:val="20"/>
          <w:szCs w:val="20"/>
          <w:color w:val="010000"/>
        </w:rPr>
        <w:t>(iii)</w:t>
      </w:r>
      <w:r>
        <w:rPr>
          <w:rFonts w:ascii="Times New Roman" w:cs="Times New Roman" w:eastAsia="Times New Roman" w:hAnsi="Times New Roman"/>
          <w:sz w:val="20"/>
          <w:szCs w:val="20"/>
          <w:u w:val="single" w:color="auto"/>
          <w:color w:val="000000"/>
        </w:rPr>
        <w:t>Water and Sewer Charges</w:t>
      </w:r>
      <w:r>
        <w:rPr>
          <w:rFonts w:ascii="Times New Roman" w:cs="Times New Roman" w:eastAsia="Times New Roman" w:hAnsi="Times New Roman"/>
          <w:sz w:val="20"/>
          <w:szCs w:val="20"/>
          <w:color w:val="000000"/>
        </w:rPr>
        <w:t>. Water rates, water meter charges, sewer rents and vault charges, if any (other than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any such charges, rates or rents which are payable by Tenants as Additional Rent to landlord pursuant to such Tenants’ Leases, for which no adjustment shall be made), shall be adjusted and prorated on the basis of the fiscal period for which assessed. If there is a water meter, or meters, on the Property, Seller agrees to use commercially reasonable efforts to, at the Closing, furnish a reading of same to a date not more than thirty (30) days prior to the Closing and the unfixed meter charges and the unfixed sewer rent thereon for the time intervening from the date of the last reading (other than any such charges, rates or rents which are payable by Tenants directly or indirectly by reimbursement to Landlord pursuant to such Tenants’ Leases, for which no adjustment shall be made) shall be apportioned on the basis of such last reading, and shall be appropriately readjusted after the Closing on the basis of the next subsequent bills. Unmetered water charges shall be apportioned on the basis of the charges therefor for the same period of the preceding calendar year, but applying the current rate thereto.</w:t>
      </w:r>
    </w:p>
    <w:p>
      <w:pPr>
        <w:spacing w:after="0" w:line="187" w:lineRule="exact"/>
        <w:rPr>
          <w:sz w:val="20"/>
          <w:szCs w:val="20"/>
          <w:color w:val="auto"/>
        </w:rPr>
      </w:pPr>
    </w:p>
    <w:p>
      <w:pPr>
        <w:jc w:val="both"/>
        <w:ind w:left="2320" w:hanging="276"/>
        <w:spacing w:after="0" w:line="246" w:lineRule="auto"/>
        <w:rPr>
          <w:sz w:val="20"/>
          <w:szCs w:val="20"/>
          <w:color w:val="auto"/>
        </w:rPr>
      </w:pPr>
      <w:r>
        <w:rPr>
          <w:rFonts w:ascii="Times New Roman" w:cs="Times New Roman" w:eastAsia="Times New Roman" w:hAnsi="Times New Roman"/>
          <w:sz w:val="20"/>
          <w:szCs w:val="20"/>
          <w:color w:val="010000"/>
        </w:rPr>
        <w:t>(iv)</w:t>
      </w:r>
      <w:r>
        <w:rPr>
          <w:rFonts w:ascii="Times New Roman" w:cs="Times New Roman" w:eastAsia="Times New Roman" w:hAnsi="Times New Roman"/>
          <w:sz w:val="20"/>
          <w:szCs w:val="20"/>
          <w:u w:val="single" w:color="auto"/>
          <w:color w:val="000000"/>
        </w:rPr>
        <w:t>Utility Charges</w:t>
      </w:r>
      <w:r>
        <w:rPr>
          <w:rFonts w:ascii="Times New Roman" w:cs="Times New Roman" w:eastAsia="Times New Roman" w:hAnsi="Times New Roman"/>
          <w:sz w:val="20"/>
          <w:szCs w:val="20"/>
          <w:color w:val="000000"/>
        </w:rPr>
        <w:t>. Buyer shall transfer all utilities at the Property to its name as of the Closing Date, and where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necessary, post deposits with the utility companies. Seller shall be entitled to recover any and all deposits held by any utility company as of the Closing Date; provided that if any such deposit is transferred to Buyer at Closing, Seller shall receive a credit at Closing in the amount of the deposit so transferred. Seller shall have the right to terminate any utilities in its name as of twenty four (24) hours after the Closing.</w:t>
      </w:r>
    </w:p>
    <w:p>
      <w:pPr>
        <w:spacing w:after="0" w:line="185" w:lineRule="exact"/>
        <w:rPr>
          <w:sz w:val="20"/>
          <w:szCs w:val="20"/>
          <w:color w:val="auto"/>
        </w:rPr>
      </w:pPr>
    </w:p>
    <w:p>
      <w:pPr>
        <w:jc w:val="both"/>
        <w:ind w:left="2260" w:hanging="224"/>
        <w:spacing w:after="0" w:line="245" w:lineRule="auto"/>
        <w:rPr>
          <w:sz w:val="20"/>
          <w:szCs w:val="20"/>
          <w:color w:val="auto"/>
        </w:rPr>
      </w:pPr>
      <w:r>
        <w:rPr>
          <w:rFonts w:ascii="Times New Roman" w:cs="Times New Roman" w:eastAsia="Times New Roman" w:hAnsi="Times New Roman"/>
          <w:sz w:val="20"/>
          <w:szCs w:val="20"/>
          <w:color w:val="010000"/>
        </w:rPr>
        <w:t>(v)</w:t>
      </w:r>
      <w:r>
        <w:rPr>
          <w:rFonts w:ascii="Times New Roman" w:cs="Times New Roman" w:eastAsia="Times New Roman" w:hAnsi="Times New Roman"/>
          <w:sz w:val="20"/>
          <w:szCs w:val="20"/>
          <w:u w:val="single" w:color="auto"/>
          <w:color w:val="000000"/>
        </w:rPr>
        <w:t>Third Party Report Costs</w:t>
      </w:r>
      <w:r>
        <w:rPr>
          <w:rFonts w:ascii="Times New Roman" w:cs="Times New Roman" w:eastAsia="Times New Roman" w:hAnsi="Times New Roman"/>
          <w:sz w:val="20"/>
          <w:szCs w:val="20"/>
          <w:color w:val="000000"/>
        </w:rPr>
        <w:t>. Subject to the terms of the Access Agreement, Buyer shall be responsible for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procuring, at its sole cost and expense, the Survey, zoning report, Title Reports, any Phase I environmental site assessments, property condition assessments and any other reports for the Property; provided however, that except for the Survey, zoning report and Title Reports and as otherwise expressly set forth in this Agreement, Buyer shall not be obligated to reimburse Seller for third party reports provided by or obtained by Seller in connection with this Agreement.</w:t>
      </w:r>
    </w:p>
    <w:p>
      <w:pPr>
        <w:spacing w:after="0" w:line="184" w:lineRule="exact"/>
        <w:rPr>
          <w:sz w:val="20"/>
          <w:szCs w:val="20"/>
          <w:color w:val="auto"/>
        </w:rPr>
      </w:pPr>
    </w:p>
    <w:p>
      <w:pPr>
        <w:jc w:val="both"/>
        <w:ind w:left="2320" w:right="20" w:hanging="276"/>
        <w:spacing w:after="0" w:line="266" w:lineRule="exact"/>
        <w:rPr>
          <w:sz w:val="20"/>
          <w:szCs w:val="20"/>
          <w:color w:val="auto"/>
        </w:rPr>
      </w:pPr>
      <w:r>
        <w:rPr>
          <w:rFonts w:ascii="Times New Roman" w:cs="Times New Roman" w:eastAsia="Times New Roman" w:hAnsi="Times New Roman"/>
          <w:sz w:val="20"/>
          <w:szCs w:val="20"/>
          <w:color w:val="010000"/>
        </w:rPr>
        <w:t>(vi)</w:t>
      </w:r>
      <w:r>
        <w:rPr>
          <w:rFonts w:ascii="Times New Roman" w:cs="Times New Roman" w:eastAsia="Times New Roman" w:hAnsi="Times New Roman"/>
          <w:sz w:val="20"/>
          <w:szCs w:val="20"/>
          <w:u w:val="single" w:color="auto"/>
          <w:color w:val="000000"/>
        </w:rPr>
        <w:t>Miscellaneous</w:t>
      </w:r>
      <w:r>
        <w:rPr>
          <w:sz w:val="20"/>
          <w:szCs w:val="20"/>
          <w:color w:val="auto"/>
        </w:rPr>
        <w:t xml:space="preserve"> </w:t>
      </w:r>
      <w:r>
        <w:rPr>
          <w:rFonts w:ascii="Times New Roman" w:cs="Times New Roman" w:eastAsia="Times New Roman" w:hAnsi="Times New Roman"/>
          <w:sz w:val="20"/>
          <w:szCs w:val="20"/>
          <w:u w:val="single" w:color="auto"/>
          <w:color w:val="auto"/>
        </w:rPr>
        <w:t>Revenues</w:t>
      </w:r>
      <w:r>
        <w:rPr>
          <w:rFonts w:ascii="Times New Roman" w:cs="Times New Roman" w:eastAsia="Times New Roman" w:hAnsi="Times New Roman"/>
          <w:sz w:val="20"/>
          <w:szCs w:val="20"/>
          <w:color w:val="auto"/>
        </w:rPr>
        <w:t>. Revenues, if any, arising out of parking, vending machines, or other</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income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producing agreements shall be adjusted and prorated between Buyer and Seller as of the Closing.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3" w:right="339" w:bottom="1440" w:gutter="0" w:footer="0" w:header="0"/>
        </w:sectPr>
      </w:pPr>
    </w:p>
    <w:bookmarkStart w:id="190" w:name="page191"/>
    <w:bookmarkEnd w:id="190"/>
    <w:p>
      <w:pPr>
        <w:jc w:val="both"/>
        <w:ind w:left="2360" w:hanging="327"/>
        <w:spacing w:after="0" w:line="246" w:lineRule="auto"/>
        <w:rPr>
          <w:sz w:val="20"/>
          <w:szCs w:val="20"/>
          <w:color w:val="auto"/>
        </w:rPr>
      </w:pPr>
      <w:r>
        <w:rPr>
          <w:rFonts w:ascii="Times New Roman" w:cs="Times New Roman" w:eastAsia="Times New Roman" w:hAnsi="Times New Roman"/>
          <w:sz w:val="20"/>
          <w:szCs w:val="20"/>
          <w:color w:val="010000"/>
        </w:rPr>
        <w:t>(vii)</w:t>
      </w:r>
      <w:r>
        <w:rPr>
          <w:rFonts w:ascii="Times New Roman" w:cs="Times New Roman" w:eastAsia="Times New Roman" w:hAnsi="Times New Roman"/>
          <w:sz w:val="20"/>
          <w:szCs w:val="20"/>
          <w:u w:val="single" w:color="auto"/>
          <w:color w:val="000000"/>
        </w:rPr>
        <w:t>Miscellaneous</w:t>
      </w:r>
      <w:r>
        <w:rPr>
          <w:rFonts w:ascii="Times New Roman" w:cs="Times New Roman" w:eastAsia="Times New Roman" w:hAnsi="Times New Roman"/>
          <w:sz w:val="20"/>
          <w:szCs w:val="20"/>
          <w:color w:val="000000"/>
        </w:rPr>
        <w:t>. If applicable, all owner’s association or similar fees and assessments (other than any such fees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 assessments which are payable by Tenants directly or indirectly by reimbursement to Landlord pursuant to such Tenants’ Leases, for which no adjustment shall be made) due and payable with respect to the Property with respect to the year in which the Closing occurs shall be adjusted and prorated based on the periods of ownership by Seller and Buyer during such year.</w:t>
      </w:r>
    </w:p>
    <w:p>
      <w:pPr>
        <w:spacing w:after="0" w:line="185" w:lineRule="exact"/>
        <w:rPr>
          <w:sz w:val="20"/>
          <w:szCs w:val="20"/>
          <w:color w:val="auto"/>
        </w:rPr>
      </w:pPr>
    </w:p>
    <w:p>
      <w:pPr>
        <w:jc w:val="both"/>
        <w:ind w:left="2420" w:hanging="378"/>
        <w:spacing w:after="0" w:line="246" w:lineRule="auto"/>
        <w:rPr>
          <w:sz w:val="20"/>
          <w:szCs w:val="20"/>
          <w:color w:val="auto"/>
        </w:rPr>
      </w:pPr>
      <w:r>
        <w:rPr>
          <w:rFonts w:ascii="Times New Roman" w:cs="Times New Roman" w:eastAsia="Times New Roman" w:hAnsi="Times New Roman"/>
          <w:sz w:val="20"/>
          <w:szCs w:val="20"/>
          <w:color w:val="010000"/>
        </w:rPr>
        <w:t>(viii)</w:t>
      </w:r>
      <w:r>
        <w:rPr>
          <w:rFonts w:ascii="Times New Roman" w:cs="Times New Roman" w:eastAsia="Times New Roman" w:hAnsi="Times New Roman"/>
          <w:sz w:val="20"/>
          <w:szCs w:val="20"/>
          <w:u w:val="single" w:color="auto"/>
          <w:color w:val="000000"/>
        </w:rPr>
        <w:t>Tenant Obligations</w:t>
      </w:r>
      <w:r>
        <w:rPr>
          <w:rFonts w:ascii="Times New Roman" w:cs="Times New Roman" w:eastAsia="Times New Roman" w:hAnsi="Times New Roman"/>
          <w:sz w:val="20"/>
          <w:szCs w:val="20"/>
          <w:color w:val="000000"/>
        </w:rPr>
        <w:t>. Notwithstanding anything herein to the contrary, there shall be no proration or credit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favor of Buyer for taxes, utilities or other operating expenses or amounts to the extent a Tenant pays or is obligated under its Lease to pay the same directly to the applicable third party, including, without limitation, the applicable service provider and/or Governmental Authority entitled to payment, or indirectly by way of reimbursement to Landlord of the expenses.</w:t>
      </w:r>
    </w:p>
    <w:p>
      <w:pPr>
        <w:spacing w:after="0" w:line="181" w:lineRule="exact"/>
        <w:rPr>
          <w:sz w:val="20"/>
          <w:szCs w:val="20"/>
          <w:color w:val="auto"/>
        </w:rPr>
      </w:pPr>
    </w:p>
    <w:p>
      <w:pPr>
        <w:jc w:val="both"/>
        <w:ind w:left="1460" w:hanging="369"/>
        <w:spacing w:after="0" w:line="243" w:lineRule="auto"/>
        <w:tabs>
          <w:tab w:leader="none" w:pos="1460"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Leasing Costs</w:t>
      </w:r>
      <w:r>
        <w:rPr>
          <w:rFonts w:ascii="Times New Roman" w:cs="Times New Roman" w:eastAsia="Times New Roman" w:hAnsi="Times New Roman"/>
          <w:sz w:val="20"/>
          <w:szCs w:val="20"/>
          <w:color w:val="auto"/>
        </w:rPr>
        <w:t>. Seller shall be responsible for only those Leasing Costs that are payable by reason of (i) the execution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Lease in existence prior to the Effective Date (an “</w:t>
      </w:r>
      <w:r>
        <w:rPr>
          <w:rFonts w:ascii="Times New Roman" w:cs="Times New Roman" w:eastAsia="Times New Roman" w:hAnsi="Times New Roman"/>
          <w:sz w:val="20"/>
          <w:szCs w:val="20"/>
          <w:b w:val="1"/>
          <w:bCs w:val="1"/>
          <w:u w:val="single" w:color="auto"/>
          <w:color w:val="auto"/>
        </w:rPr>
        <w:t>Existing Lease</w:t>
      </w:r>
      <w:r>
        <w:rPr>
          <w:rFonts w:ascii="Times New Roman" w:cs="Times New Roman" w:eastAsia="Times New Roman" w:hAnsi="Times New Roman"/>
          <w:sz w:val="20"/>
          <w:szCs w:val="20"/>
          <w:color w:val="auto"/>
        </w:rPr>
        <w:t xml:space="preserve">”), (ii) the renewal, extension, expansion of, or the exercise of any other option under, an Existing Lease, prior to the Effective Date, and (iii) amendments of an Existing Lease entered into prior to the Effective Date, in each case, only as set forth on </w:t>
      </w:r>
      <w:r>
        <w:rPr>
          <w:rFonts w:ascii="Times New Roman" w:cs="Times New Roman" w:eastAsia="Times New Roman" w:hAnsi="Times New Roman"/>
          <w:sz w:val="20"/>
          <w:szCs w:val="20"/>
          <w:b w:val="1"/>
          <w:bCs w:val="1"/>
          <w:u w:val="single" w:color="auto"/>
          <w:color w:val="auto"/>
        </w:rPr>
        <w:t>Schedule 5(b)</w:t>
      </w:r>
      <w:r>
        <w:rPr>
          <w:rFonts w:ascii="Times New Roman" w:cs="Times New Roman" w:eastAsia="Times New Roman" w:hAnsi="Times New Roman"/>
          <w:sz w:val="20"/>
          <w:szCs w:val="20"/>
          <w:color w:val="auto"/>
        </w:rPr>
        <w:t xml:space="preserve"> (collectively, “</w:t>
      </w:r>
      <w:r>
        <w:rPr>
          <w:rFonts w:ascii="Times New Roman" w:cs="Times New Roman" w:eastAsia="Times New Roman" w:hAnsi="Times New Roman"/>
          <w:sz w:val="20"/>
          <w:szCs w:val="20"/>
          <w:b w:val="1"/>
          <w:bCs w:val="1"/>
          <w:u w:val="single" w:color="auto"/>
          <w:color w:val="auto"/>
        </w:rPr>
        <w:t>Seller’s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Leasing Costs</w:t>
      </w:r>
      <w:r>
        <w:rPr>
          <w:rFonts w:ascii="Times New Roman" w:cs="Times New Roman" w:eastAsia="Times New Roman" w:hAnsi="Times New Roman"/>
          <w:sz w:val="20"/>
          <w:szCs w:val="20"/>
          <w:color w:val="auto"/>
        </w:rPr>
        <w:t>”). Buyer shall assume the economic effect of any “free rent” or other concessions pertaining to the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and after the Closing Date, and Buyer shall not receive a credit to the Purchase Price from Seller with respect to any “free rent” or other concessions. Seller shall credit Buyer at Closing all of Seller’s Leasing Costs that remain unpaid or outstanding as of the Closing Date (the “</w:t>
      </w:r>
      <w:r>
        <w:rPr>
          <w:rFonts w:ascii="Times New Roman" w:cs="Times New Roman" w:eastAsia="Times New Roman" w:hAnsi="Times New Roman"/>
          <w:sz w:val="20"/>
          <w:szCs w:val="20"/>
          <w:b w:val="1"/>
          <w:bCs w:val="1"/>
          <w:u w:val="single" w:color="auto"/>
          <w:color w:val="auto"/>
        </w:rPr>
        <w:t>Outstanding Leasing Costs Credit</w:t>
      </w:r>
      <w:r>
        <w:rPr>
          <w:rFonts w:ascii="Times New Roman" w:cs="Times New Roman" w:eastAsia="Times New Roman" w:hAnsi="Times New Roman"/>
          <w:sz w:val="20"/>
          <w:szCs w:val="20"/>
          <w:color w:val="auto"/>
        </w:rPr>
        <w:t>”) and, subject to the reimbursement obligations set forth above, Seller shall pay (or cause to be paid) when due all Leasing Costs payable after the Effective Date and prior to Closing.</w:t>
      </w:r>
    </w:p>
    <w:p>
      <w:pPr>
        <w:spacing w:after="0" w:line="186"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Intentionally Omitted.</w:t>
      </w:r>
    </w:p>
    <w:p>
      <w:pPr>
        <w:spacing w:after="0" w:line="215"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Intentionally Omitted.</w:t>
      </w:r>
    </w:p>
    <w:p>
      <w:pPr>
        <w:spacing w:after="0" w:line="211" w:lineRule="exact"/>
        <w:rPr>
          <w:rFonts w:ascii="Times New Roman" w:cs="Times New Roman" w:eastAsia="Times New Roman" w:hAnsi="Times New Roman"/>
          <w:sz w:val="20"/>
          <w:szCs w:val="20"/>
          <w:color w:val="010000"/>
        </w:rPr>
      </w:pPr>
    </w:p>
    <w:p>
      <w:pPr>
        <w:jc w:val="both"/>
        <w:ind w:left="1460" w:hanging="369"/>
        <w:spacing w:after="0" w:line="245" w:lineRule="auto"/>
        <w:tabs>
          <w:tab w:leader="none" w:pos="1460"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Re-Adjustment</w:t>
      </w:r>
      <w:r>
        <w:rPr>
          <w:rFonts w:ascii="Times New Roman" w:cs="Times New Roman" w:eastAsia="Times New Roman" w:hAnsi="Times New Roman"/>
          <w:sz w:val="20"/>
          <w:szCs w:val="20"/>
          <w:color w:val="auto"/>
        </w:rPr>
        <w:t>. In the event any prorations or apportionments made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prove to be incorrect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reason, then any party shall be entitled to an adjustment to correct the same. Any item that cannot be finally prorated because of the unavailability of information shall be tentatively prorated on the basis of the best data then available and reprorated when the information is available. Notwithstanding anything to the contrary set forth herein, all reprorations contemplated by this Agreement shall be completed within six (6) months after Closing (subject to extension solely as necessary due to the unavailability of final information but in no event to exceed 18 months after Closing). The obligations of Seller and Buyer under this </w:t>
      </w:r>
      <w:r>
        <w:rPr>
          <w:rFonts w:ascii="Times New Roman" w:cs="Times New Roman" w:eastAsia="Times New Roman" w:hAnsi="Times New Roman"/>
          <w:sz w:val="20"/>
          <w:szCs w:val="20"/>
          <w:u w:val="single" w:color="auto"/>
          <w:color w:val="auto"/>
        </w:rPr>
        <w:t>Section 5(e)</w:t>
      </w:r>
      <w:r>
        <w:rPr>
          <w:rFonts w:ascii="Times New Roman" w:cs="Times New Roman" w:eastAsia="Times New Roman" w:hAnsi="Times New Roman"/>
          <w:sz w:val="20"/>
          <w:szCs w:val="20"/>
          <w:color w:val="auto"/>
        </w:rPr>
        <w:t xml:space="preserve"> shall survive the Closing.</w:t>
      </w:r>
    </w:p>
    <w:p>
      <w:pPr>
        <w:spacing w:after="0" w:line="183" w:lineRule="exact"/>
        <w:rPr>
          <w:rFonts w:ascii="Times New Roman" w:cs="Times New Roman" w:eastAsia="Times New Roman" w:hAnsi="Times New Roman"/>
          <w:sz w:val="20"/>
          <w:szCs w:val="20"/>
          <w:color w:val="010000"/>
        </w:rPr>
      </w:pPr>
    </w:p>
    <w:p>
      <w:pPr>
        <w:jc w:val="both"/>
        <w:ind w:left="1460" w:hanging="369"/>
        <w:spacing w:after="0" w:line="245" w:lineRule="auto"/>
        <w:tabs>
          <w:tab w:leader="none" w:pos="1460"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Transaction Costs. Buyer and Seller agree to comply with all real estate transfer and recordation tax laws applicable to the sale of the Property. At Closing, Seller shall pay or cause to be paid the transaction costs allocated to Seller on Schedule 5(f). At Closing, Buyer shall pay (i) all fees, costs or expenses in connection with Buyer’s due diligence reviews and analyses hereunder, (ii) the cost of the Survey and/or any update thereto or recertification thereof, as applicable and (iii) the transaction costs allocated to Buyer on Schedule 5(f). Any other transaction costs shall be paid by Buyer and Seller, as applicable, in accordance with local custom for the Property. Seller and Buyer shall pay their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3" w:right="339" w:bottom="1440" w:gutter="0" w:footer="0" w:header="0"/>
        </w:sectPr>
      </w:pPr>
    </w:p>
    <w:bookmarkStart w:id="191" w:name="page192"/>
    <w:bookmarkEnd w:id="191"/>
    <w:p>
      <w:pPr>
        <w:ind w:left="1500"/>
        <w:spacing w:after="0" w:line="269" w:lineRule="auto"/>
        <w:rPr>
          <w:sz w:val="20"/>
          <w:szCs w:val="20"/>
          <w:color w:val="auto"/>
        </w:rPr>
      </w:pPr>
      <w:r>
        <w:rPr>
          <w:rFonts w:ascii="Times New Roman" w:cs="Times New Roman" w:eastAsia="Times New Roman" w:hAnsi="Times New Roman"/>
          <w:sz w:val="20"/>
          <w:szCs w:val="20"/>
          <w:color w:val="auto"/>
        </w:rPr>
        <w:t>respective shares of prorations as herein provided. Except as otherwise expressly provided in this Agreement, each party shall pay the fees of its own attorneys, accountants and other professionals.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Section  </w:t>
      </w:r>
      <w:r>
        <w:rPr>
          <w:rFonts w:ascii="Times New Roman" w:cs="Times New Roman" w:eastAsia="Times New Roman" w:hAnsi="Times New Roman"/>
          <w:sz w:val="20"/>
          <w:szCs w:val="20"/>
          <w:b w:val="1"/>
          <w:bCs w:val="1"/>
          <w:color w:val="000000"/>
        </w:rPr>
        <w:t>Examination of Property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6.</w:t>
      </w:r>
    </w:p>
    <w:p>
      <w:pPr>
        <w:spacing w:after="0" w:line="194" w:lineRule="exact"/>
        <w:rPr>
          <w:sz w:val="20"/>
          <w:szCs w:val="20"/>
          <w:color w:val="auto"/>
        </w:rPr>
      </w:pPr>
    </w:p>
    <w:p>
      <w:pPr>
        <w:ind w:left="160" w:hanging="152"/>
        <w:spacing w:after="0"/>
        <w:tabs>
          <w:tab w:leader="none" w:pos="160"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Seller and Buyer hereby agree as follows:</w:t>
      </w:r>
    </w:p>
    <w:p>
      <w:pPr>
        <w:spacing w:after="0" w:line="211" w:lineRule="exact"/>
        <w:rPr>
          <w:rFonts w:ascii="Times New Roman" w:cs="Times New Roman" w:eastAsia="Times New Roman" w:hAnsi="Times New Roman"/>
          <w:sz w:val="20"/>
          <w:szCs w:val="20"/>
          <w:b w:val="1"/>
          <w:bCs w:val="1"/>
          <w:color w:val="auto"/>
        </w:rPr>
      </w:pPr>
    </w:p>
    <w:p>
      <w:pPr>
        <w:ind w:left="1500" w:hanging="369"/>
        <w:spacing w:after="0"/>
        <w:tabs>
          <w:tab w:leader="none" w:pos="1500" w:val="left"/>
        </w:tabs>
        <w:numPr>
          <w:ilvl w:val="1"/>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Title Examination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2260" w:hanging="182"/>
        <w:spacing w:after="0"/>
        <w:rPr>
          <w:sz w:val="20"/>
          <w:szCs w:val="20"/>
          <w:color w:val="auto"/>
        </w:rPr>
      </w:pPr>
      <w:r>
        <w:rPr>
          <w:rFonts w:ascii="Times New Roman" w:cs="Times New Roman" w:eastAsia="Times New Roman" w:hAnsi="Times New Roman"/>
          <w:sz w:val="20"/>
          <w:szCs w:val="20"/>
          <w:color w:val="010000"/>
        </w:rPr>
        <w:t>(i)</w:t>
      </w:r>
      <w:r>
        <w:rPr>
          <w:rFonts w:ascii="Times New Roman" w:cs="Times New Roman" w:eastAsia="Times New Roman" w:hAnsi="Times New Roman"/>
          <w:sz w:val="20"/>
          <w:szCs w:val="20"/>
          <w:u w:val="single" w:color="auto"/>
          <w:color w:val="000000"/>
        </w:rPr>
        <w:t>During Examination Period</w:t>
      </w:r>
      <w:r>
        <w:rPr>
          <w:rFonts w:ascii="Times New Roman" w:cs="Times New Roman" w:eastAsia="Times New Roman" w:hAnsi="Times New Roman"/>
          <w:sz w:val="20"/>
          <w:szCs w:val="20"/>
          <w:color w:val="000000"/>
        </w:rPr>
        <w:t>.</w:t>
      </w:r>
      <w:r>
        <w:rPr>
          <w:sz w:val="20"/>
          <w:szCs w:val="20"/>
          <w:color w:val="auto"/>
        </w:rPr>
        <w:t xml:space="preserve"> </w:t>
      </w:r>
      <w:r>
        <w:rPr>
          <w:rFonts w:ascii="Times New Roman" w:cs="Times New Roman" w:eastAsia="Times New Roman" w:hAnsi="Times New Roman"/>
          <w:sz w:val="20"/>
          <w:szCs w:val="20"/>
          <w:color w:val="auto"/>
        </w:rPr>
        <w:t>Buyer shall furnish to Seller no later than five (5) Business Days prior to the expiration of the Examination Period a written notice (the “</w:t>
      </w:r>
      <w:r>
        <w:rPr>
          <w:rFonts w:ascii="Times New Roman" w:cs="Times New Roman" w:eastAsia="Times New Roman" w:hAnsi="Times New Roman"/>
          <w:sz w:val="20"/>
          <w:szCs w:val="20"/>
          <w:b w:val="1"/>
          <w:bCs w:val="1"/>
          <w:u w:val="single" w:color="auto"/>
          <w:color w:val="auto"/>
        </w:rPr>
        <w:t>Objection Notice</w:t>
      </w:r>
      <w:r>
        <w:rPr>
          <w:rFonts w:ascii="Times New Roman" w:cs="Times New Roman" w:eastAsia="Times New Roman" w:hAnsi="Times New Roman"/>
          <w:sz w:val="20"/>
          <w:szCs w:val="20"/>
          <w:color w:val="auto"/>
        </w:rPr>
        <w:t>”) specifying any defects in title set forth in the Title Report or on the Survey or any other matter that would be disclosed by a current, accurate survey of the Real Property and Improvements (the “</w:t>
      </w:r>
      <w:r>
        <w:rPr>
          <w:rFonts w:ascii="Times New Roman" w:cs="Times New Roman" w:eastAsia="Times New Roman" w:hAnsi="Times New Roman"/>
          <w:sz w:val="20"/>
          <w:szCs w:val="20"/>
          <w:b w:val="1"/>
          <w:bCs w:val="1"/>
          <w:u w:val="single" w:color="auto"/>
          <w:color w:val="auto"/>
        </w:rPr>
        <w:t>Objections</w:t>
      </w:r>
      <w:r>
        <w:rPr>
          <w:rFonts w:ascii="Times New Roman" w:cs="Times New Roman" w:eastAsia="Times New Roman" w:hAnsi="Times New Roman"/>
          <w:sz w:val="20"/>
          <w:szCs w:val="20"/>
          <w:color w:val="auto"/>
        </w:rPr>
        <w:t>”), and any such defect that Buyer fails to timely raise as an Objection pursuant to this paragraph shall be conclusively deemed waived by Buyer and shall be considered a Permitted Exception. Seller may notify Buyer within three (3) Business Days after receipt of the Objections whether Seller will cure the Objections. If Seller does not respond within said three (3) Business Day period, Seller shall be deemed to have elected to not cure the Objections. If Seller does not agree (or is deemed to not agree) to cure the Objections, Buyer shall have the right, by written notice given to Seller and Title Insurer within two (2) Business Days after receipt of Seller’s notice (or within two (2) Business Days after the expiration of Seller’s three (3) Business Day response period, if Seller does not respond, but in no event later than the expiration of the Examination Period), to terminate this Agreement and obtain a refund of the Earnest Money. Subject to the termination right set forth in Section 6(c), if Buyer either (a) fails to elect to terminate this Agreement by written notice given to Seller within said period or (b) sends written notice waiving the Objections, then Buyer shall be conclusively deemed to have elected to waive the Objections and close title in accordance with this Agreement, and without any abatement or reduction of the Purchase Price, and such Objections shall constitute Permitted Exceptions. If Buyer elects to terminate this Agreement by written notice given to Seller within such period, the Earnest Money shall be returned to Buyer, and upon such return, except as expressly provided herein, this Agreement and all rights and obligations of the respective parties hereunder shall be null and void. Buyer shall conclusively be deemed to have waived its right to object to any defect set forth in the aforesaid Title Report and Survey (or any other matter that would be disclosed by a current, accurate survey of the Real Property and Improvements) and accepted the same as Permitted Exceptions, to the extent Buyer fails to deliver an Objection Notice to Seller prior to the date that is five (5) Business Days prior to the expiration of the Examination Period identifying such defect or other matter as an Objection under such Objection Notice.</w:t>
      </w:r>
    </w:p>
    <w:p>
      <w:pPr>
        <w:spacing w:after="0" w:line="205" w:lineRule="exact"/>
        <w:rPr>
          <w:sz w:val="20"/>
          <w:szCs w:val="20"/>
          <w:color w:val="auto"/>
        </w:rPr>
      </w:pPr>
    </w:p>
    <w:p>
      <w:pPr>
        <w:jc w:val="both"/>
        <w:ind w:left="2320" w:hanging="235"/>
        <w:spacing w:after="0" w:line="263" w:lineRule="auto"/>
        <w:rPr>
          <w:sz w:val="20"/>
          <w:szCs w:val="20"/>
          <w:color w:val="auto"/>
        </w:rPr>
      </w:pPr>
      <w:r>
        <w:rPr>
          <w:rFonts w:ascii="Times New Roman" w:cs="Times New Roman" w:eastAsia="Times New Roman" w:hAnsi="Times New Roman"/>
          <w:sz w:val="19"/>
          <w:szCs w:val="19"/>
          <w:color w:val="010000"/>
        </w:rPr>
        <w:t>(ii)</w:t>
      </w:r>
      <w:r>
        <w:rPr>
          <w:rFonts w:ascii="Times New Roman" w:cs="Times New Roman" w:eastAsia="Times New Roman" w:hAnsi="Times New Roman"/>
          <w:sz w:val="19"/>
          <w:szCs w:val="19"/>
          <w:u w:val="single" w:color="auto"/>
          <w:color w:val="000000"/>
        </w:rPr>
        <w:t>Following Examination Period</w:t>
      </w:r>
      <w:r>
        <w:rPr>
          <w:rFonts w:ascii="Times New Roman" w:cs="Times New Roman" w:eastAsia="Times New Roman" w:hAnsi="Times New Roman"/>
          <w:sz w:val="19"/>
          <w:szCs w:val="19"/>
          <w:color w:val="000000"/>
        </w:rPr>
        <w:t>. If at any time after the expiration of the Examination Period, any update to a</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Title Report discloses any additional item which (i) was not disclosed on any version of or update to a Title Report or Survey (or any other matter that would be disclosed by a current, accurate survey of the Real Property and Improvements as of the end of the Examination Period) delivered to Buyer during the Examination Period, (ii) is not a Permitted Exception and (iii) has a material adverse effect on the ownership, use or operation of the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2" w:name="page193"/>
    <w:bookmarkEnd w:id="192"/>
    <w:p>
      <w:pPr>
        <w:jc w:val="both"/>
        <w:ind w:left="2220"/>
        <w:spacing w:after="0" w:line="241" w:lineRule="auto"/>
        <w:rPr>
          <w:sz w:val="20"/>
          <w:szCs w:val="20"/>
          <w:color w:val="auto"/>
        </w:rPr>
      </w:pPr>
      <w:r>
        <w:rPr>
          <w:rFonts w:ascii="Times New Roman" w:cs="Times New Roman" w:eastAsia="Times New Roman" w:hAnsi="Times New Roman"/>
          <w:sz w:val="20"/>
          <w:szCs w:val="20"/>
          <w:color w:val="auto"/>
        </w:rPr>
        <w:t>Property (the “</w:t>
      </w:r>
      <w:r>
        <w:rPr>
          <w:rFonts w:ascii="Times New Roman" w:cs="Times New Roman" w:eastAsia="Times New Roman" w:hAnsi="Times New Roman"/>
          <w:sz w:val="20"/>
          <w:szCs w:val="20"/>
          <w:b w:val="1"/>
          <w:bCs w:val="1"/>
          <w:u w:val="single" w:color="auto"/>
          <w:color w:val="auto"/>
        </w:rPr>
        <w:t>New Exception</w:t>
      </w:r>
      <w:r>
        <w:rPr>
          <w:rFonts w:ascii="Times New Roman" w:cs="Times New Roman" w:eastAsia="Times New Roman" w:hAnsi="Times New Roman"/>
          <w:sz w:val="20"/>
          <w:szCs w:val="20"/>
          <w:color w:val="auto"/>
        </w:rPr>
        <w:t>”), then Buyer shall have a period of five (5) Business Days from the date of its receipt of such update (the “</w:t>
      </w:r>
      <w:r>
        <w:rPr>
          <w:rFonts w:ascii="Times New Roman" w:cs="Times New Roman" w:eastAsia="Times New Roman" w:hAnsi="Times New Roman"/>
          <w:sz w:val="20"/>
          <w:szCs w:val="20"/>
          <w:b w:val="1"/>
          <w:bCs w:val="1"/>
          <w:u w:val="single" w:color="auto"/>
          <w:color w:val="auto"/>
        </w:rPr>
        <w:t>New Exception Review Period</w:t>
      </w:r>
      <w:r>
        <w:rPr>
          <w:rFonts w:ascii="Times New Roman" w:cs="Times New Roman" w:eastAsia="Times New Roman" w:hAnsi="Times New Roman"/>
          <w:sz w:val="20"/>
          <w:szCs w:val="20"/>
          <w:color w:val="auto"/>
        </w:rPr>
        <w:t>”) to review and notify Seller in writing of Buyer’s approval or disapproval of the New Exception. If Buyer disapproves of the New Exception, Seller may, in its sole discretion, notify Buyer as to whether it is willing to cure the New Exception. If Seller fails to deliver a notice to Buyer within five (5) Business Days after the expiration of the New Exception Review Period, Seller shall be deemed to have elected not to cure the New Exception. If Seller elects not to cure the New Exception (or is deemed to have elected not to cure), Buyer may, as its exclusive remedy, elect either: (a) to terminate this Agreement by written notice given to Seller within one (1) Business Day after receipt of Seller’s notice (or within one (1) Business Day after the expiration of Seller’s three (3) Business Day period, if Seller does not respond), but in no event later than the Closing Date, and obtain a refund of the Earnest Money, and upon such refund, except as expressly provided herein, this Agreement and all rights and obligations of the respective parties hereunder shall be null and void, or (b) to waive the New Exception and proceed with the transactions contemplated by this Agreement without any reduction in the Purchase Price, in which event such New Exception shall be a Permitted Exception. If Buyer fails to timely notify Seller of its election to terminate this Agreement in accordance with the foregoing sentence within three (3) Business Days after the New Exception Review Period, Buyer shall be deemed to have elected to approve and irrevocably waive any objections to the New Exception.</w:t>
      </w:r>
    </w:p>
    <w:p>
      <w:pPr>
        <w:spacing w:after="0" w:line="196" w:lineRule="exact"/>
        <w:rPr>
          <w:sz w:val="20"/>
          <w:szCs w:val="20"/>
          <w:color w:val="auto"/>
        </w:rPr>
      </w:pPr>
    </w:p>
    <w:p>
      <w:pPr>
        <w:jc w:val="both"/>
        <w:ind w:left="2320" w:hanging="286"/>
        <w:spacing w:after="0" w:line="241" w:lineRule="auto"/>
        <w:rPr>
          <w:sz w:val="20"/>
          <w:szCs w:val="20"/>
          <w:color w:val="auto"/>
        </w:rPr>
      </w:pPr>
      <w:r>
        <w:rPr>
          <w:rFonts w:ascii="Times New Roman" w:cs="Times New Roman" w:eastAsia="Times New Roman" w:hAnsi="Times New Roman"/>
          <w:sz w:val="20"/>
          <w:szCs w:val="20"/>
          <w:color w:val="010000"/>
        </w:rPr>
        <w:t>(iii)</w:t>
      </w:r>
      <w:r>
        <w:rPr>
          <w:rFonts w:ascii="Times New Roman" w:cs="Times New Roman" w:eastAsia="Times New Roman" w:hAnsi="Times New Roman"/>
          <w:sz w:val="20"/>
          <w:szCs w:val="20"/>
          <w:u w:val="single" w:color="auto"/>
          <w:color w:val="000000"/>
        </w:rPr>
        <w:t>Mandatory Cure Liens</w:t>
      </w:r>
      <w:r>
        <w:rPr>
          <w:rFonts w:ascii="Times New Roman" w:cs="Times New Roman" w:eastAsia="Times New Roman" w:hAnsi="Times New Roman"/>
          <w:sz w:val="20"/>
          <w:szCs w:val="20"/>
          <w:color w:val="000000"/>
        </w:rPr>
        <w:t>. Notwithstanding the foregoing, Seller shall be obligated at Closing to cause the release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 discharge of (i) any lien encumbering the Property and voluntarily created by Seller after the Effective Date that was not a Permitted Exception as of the expiration of the Examination Period and (ii) any lien securing a mortgage or deed of trust entered into by Seller (each, a “</w:t>
      </w:r>
      <w:r>
        <w:rPr>
          <w:rFonts w:ascii="Times New Roman" w:cs="Times New Roman" w:eastAsia="Times New Roman" w:hAnsi="Times New Roman"/>
          <w:sz w:val="20"/>
          <w:szCs w:val="20"/>
          <w:b w:val="1"/>
          <w:bCs w:val="1"/>
          <w:u w:val="single" w:color="auto"/>
          <w:color w:val="000000"/>
        </w:rPr>
        <w:t>Mandatory Cure Lien</w:t>
      </w:r>
      <w:r>
        <w:rPr>
          <w:rFonts w:ascii="Times New Roman" w:cs="Times New Roman" w:eastAsia="Times New Roman" w:hAnsi="Times New Roman"/>
          <w:sz w:val="20"/>
          <w:szCs w:val="20"/>
          <w:color w:val="000000"/>
        </w:rPr>
        <w:t xml:space="preserve">”). Seller shall have the right to adjourn the Closing Date up to thirty (30) calendar days in order to cause Title Insurer (or, if Title Insurer is unwilling or unable to do so, any other nationally recognized title insurance company) to issue the Title Policy to Buyer without exception for any Mandatory Cure Lien other than a Mandatory Cure Lien securing any existing mortgage or deed of trust for financing obtained or assumed by Seller or its Affiliate that encumbers all or any portion of the Property as of the Effective Date. In the event such Mandatory Cure Lien is bonded over by Seller or others at or prior to the Closing or if Seller causes it to be omitted from the Title Policy (or is otherwise insured over by the Title Insurer), then Seller shall be deemed to have satisfied the provisions of this sentence and caused the release of such Mandatory Cure Lien. The parties acknowledge and agree that Seller shall have the right to apply or cause Escrow Agent to apply all or any portion of the Purchase Price to cause the release of any Mandatory Cure Lien. Except as expressly set forth in this </w:t>
      </w:r>
      <w:r>
        <w:rPr>
          <w:rFonts w:ascii="Times New Roman" w:cs="Times New Roman" w:eastAsia="Times New Roman" w:hAnsi="Times New Roman"/>
          <w:sz w:val="20"/>
          <w:szCs w:val="20"/>
          <w:u w:val="single" w:color="auto"/>
          <w:color w:val="000000"/>
        </w:rPr>
        <w:t>Section 6(a)</w:t>
      </w:r>
      <w:r>
        <w:rPr>
          <w:rFonts w:ascii="Times New Roman" w:cs="Times New Roman" w:eastAsia="Times New Roman" w:hAnsi="Times New Roman"/>
          <w:sz w:val="20"/>
          <w:szCs w:val="20"/>
          <w:color w:val="000000"/>
        </w:rPr>
        <w:t>, nothing contained in this Agreement shall be deemed to require Seller to take or bring any action or proceeding or any other steps to remove any title exception or to expend any moneys therefor, nor shall Buyer have any right of action against Seller, at law or in equity, for Seller’s inability to convey its interest in the Property subject only to the Permitted Exceptions.</w:t>
      </w:r>
    </w:p>
    <w:p>
      <w:pPr>
        <w:spacing w:after="0" w:line="186" w:lineRule="exact"/>
        <w:rPr>
          <w:sz w:val="20"/>
          <w:szCs w:val="20"/>
          <w:color w:val="auto"/>
        </w:rPr>
      </w:pPr>
    </w:p>
    <w:p>
      <w:pPr>
        <w:ind w:left="1460" w:right="20" w:hanging="369"/>
        <w:spacing w:after="0" w:line="273" w:lineRule="auto"/>
        <w:tabs>
          <w:tab w:leader="none" w:pos="1460" w:val="left"/>
        </w:tabs>
        <w:numPr>
          <w:ilvl w:val="0"/>
          <w:numId w:val="1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Due Diligence</w:t>
      </w:r>
      <w:r>
        <w:rPr>
          <w:rFonts w:ascii="Times New Roman" w:cs="Times New Roman" w:eastAsia="Times New Roman" w:hAnsi="Times New Roman"/>
          <w:sz w:val="20"/>
          <w:szCs w:val="20"/>
          <w:color w:val="auto"/>
        </w:rPr>
        <w:t>. Seller and an Affiliate of Buyer (“</w:t>
      </w:r>
      <w:r>
        <w:rPr>
          <w:rFonts w:ascii="Times New Roman" w:cs="Times New Roman" w:eastAsia="Times New Roman" w:hAnsi="Times New Roman"/>
          <w:sz w:val="20"/>
          <w:szCs w:val="20"/>
          <w:b w:val="1"/>
          <w:bCs w:val="1"/>
          <w:color w:val="auto"/>
        </w:rPr>
        <w:t>Buyer Access Affiliate</w:t>
      </w:r>
      <w:r>
        <w:rPr>
          <w:rFonts w:ascii="Times New Roman" w:cs="Times New Roman" w:eastAsia="Times New Roman" w:hAnsi="Times New Roman"/>
          <w:sz w:val="20"/>
          <w:szCs w:val="20"/>
          <w:color w:val="auto"/>
        </w:rPr>
        <w:t>”) are parties to that certain Access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dated as of </w:t>
      </w:r>
      <w:r>
        <w:rPr>
          <w:rFonts w:ascii="Times New Roman" w:cs="Times New Roman" w:eastAsia="Times New Roman" w:hAnsi="Times New Roman"/>
          <w:sz w:val="20"/>
          <w:szCs w:val="20"/>
          <w:b w:val="1"/>
          <w:bCs w:val="1"/>
          <w:color w:val="auto"/>
        </w:rPr>
        <w:t>October 1, 2024</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u w:val="single" w:color="auto"/>
          <w:color w:val="auto"/>
        </w:rPr>
        <w:t>Access Agreement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09" w:right="339" w:bottom="1440" w:gutter="0" w:footer="0" w:header="0"/>
        </w:sectPr>
      </w:pPr>
    </w:p>
    <w:bookmarkStart w:id="193" w:name="page194"/>
    <w:bookmarkEnd w:id="193"/>
    <w:p>
      <w:pPr>
        <w:jc w:val="both"/>
        <w:ind w:left="1500"/>
        <w:spacing w:after="0" w:line="245" w:lineRule="auto"/>
        <w:rPr>
          <w:sz w:val="20"/>
          <w:szCs w:val="20"/>
          <w:color w:val="auto"/>
        </w:rPr>
      </w:pPr>
      <w:r>
        <w:rPr>
          <w:rFonts w:ascii="Times New Roman" w:cs="Times New Roman" w:eastAsia="Times New Roman" w:hAnsi="Times New Roman"/>
          <w:sz w:val="20"/>
          <w:szCs w:val="20"/>
          <w:color w:val="auto"/>
        </w:rPr>
        <w:t>the terms of which are incorporated herein by reference (and made subject to the terms and conditions set forth herein); provided however, that effective as of the Effective Date, Buyer hereby assumes all duties, liabilities and obligations of Buyer Access Affiliate accruing (and that have accrued) under the Access Agreement from and after the effective date of the Access Agreement. For the avoidance of doubt, the Access Agreement shall remain in full force and effect and shall be co-terminus with the Closing or earlier termination of this Agreement notwithstanding any provision of the Access Agreement to the contrary.</w:t>
      </w:r>
    </w:p>
    <w:p>
      <w:pPr>
        <w:spacing w:after="0" w:line="180" w:lineRule="exact"/>
        <w:rPr>
          <w:sz w:val="20"/>
          <w:szCs w:val="20"/>
          <w:color w:val="auto"/>
        </w:rPr>
      </w:pPr>
    </w:p>
    <w:p>
      <w:pPr>
        <w:jc w:val="both"/>
        <w:ind w:left="1500" w:hanging="369"/>
        <w:spacing w:after="0" w:line="242" w:lineRule="auto"/>
        <w:tabs>
          <w:tab w:leader="none" w:pos="1500" w:val="left"/>
        </w:tabs>
        <w:numPr>
          <w:ilvl w:val="0"/>
          <w:numId w:val="1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Termination Right</w:t>
      </w:r>
      <w:r>
        <w:rPr>
          <w:rFonts w:ascii="Times New Roman" w:cs="Times New Roman" w:eastAsia="Times New Roman" w:hAnsi="Times New Roman"/>
          <w:sz w:val="20"/>
          <w:szCs w:val="20"/>
          <w:color w:val="auto"/>
        </w:rPr>
        <w:t>. Buyer shall have the unconditional right until the expiration of the Examination Period to terminate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this Agreement, for any reason or no reason, by either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giving written notice thereof (a “</w:t>
      </w:r>
      <w:r>
        <w:rPr>
          <w:rFonts w:ascii="Times New Roman" w:cs="Times New Roman" w:eastAsia="Times New Roman" w:hAnsi="Times New Roman"/>
          <w:sz w:val="20"/>
          <w:szCs w:val="20"/>
          <w:b w:val="1"/>
          <w:bCs w:val="1"/>
          <w:color w:val="auto"/>
        </w:rPr>
        <w:t>Termination Notice</w:t>
      </w:r>
      <w:r>
        <w:rPr>
          <w:rFonts w:ascii="Times New Roman" w:cs="Times New Roman" w:eastAsia="Times New Roman" w:hAnsi="Times New Roman"/>
          <w:sz w:val="20"/>
          <w:szCs w:val="20"/>
          <w:color w:val="auto"/>
        </w:rPr>
        <w:t xml:space="preserve">”) to Seller prior to the expiration of the Examination Period, or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failing to provide Seller with a written notice prior to the expiration of the Examination Period that Seller will proceed with the acquisition hereby contemplated (such notice, the “</w:t>
      </w:r>
      <w:r>
        <w:rPr>
          <w:rFonts w:ascii="Times New Roman" w:cs="Times New Roman" w:eastAsia="Times New Roman" w:hAnsi="Times New Roman"/>
          <w:sz w:val="20"/>
          <w:szCs w:val="20"/>
          <w:b w:val="1"/>
          <w:bCs w:val="1"/>
          <w:color w:val="auto"/>
        </w:rPr>
        <w:t>Notice to Proceed</w:t>
      </w:r>
      <w:r>
        <w:rPr>
          <w:rFonts w:ascii="Times New Roman" w:cs="Times New Roman" w:eastAsia="Times New Roman" w:hAnsi="Times New Roman"/>
          <w:sz w:val="20"/>
          <w:szCs w:val="20"/>
          <w:color w:val="auto"/>
        </w:rPr>
        <w:t xml:space="preserve">”), in which event this Agreement shall terminate, Buyer shall receive a refund of the Earnest Money, and all rights, liabilities and obligations of the parties under this Agreement shall expire, except as otherwise set forth herein. If Buyer delivers a Notice to Proceed to Seller prior to the expiration of the Examination Period, Buyer conclusively shall be deemed to have waived its right to terminate this Agreement pursuant to this </w:t>
      </w:r>
      <w:r>
        <w:rPr>
          <w:rFonts w:ascii="Times New Roman" w:cs="Times New Roman" w:eastAsia="Times New Roman" w:hAnsi="Times New Roman"/>
          <w:sz w:val="20"/>
          <w:szCs w:val="20"/>
          <w:u w:val="single" w:color="auto"/>
          <w:color w:val="auto"/>
        </w:rPr>
        <w:t>Section 6(c)</w:t>
      </w:r>
      <w:r>
        <w:rPr>
          <w:rFonts w:ascii="Times New Roman" w:cs="Times New Roman" w:eastAsia="Times New Roman" w:hAnsi="Times New Roman"/>
          <w:sz w:val="20"/>
          <w:szCs w:val="20"/>
          <w:color w:val="auto"/>
        </w:rPr>
        <w:t>. Buyer hereby agrees that in the event Buyer delivers a Notice to Proceed, the same shall constitute an acknowledgment that Seller has given Buyer adequate opportunity to consider, inspect and review to its satisfaction the physical, environmental, economic and legal condition of the Properties. Notwithstanding the foregoing or anything in this Agreement to the contrary, Buyer is hereby deemed to have timely and properly delivered a Notice to Proceed to Seller prior to the expiration of the Examination Period (and Buyer is hereby deemed to have not delivered a Termination Notice to Seller prior to the expiration of the Examination Period).</w:t>
      </w:r>
    </w:p>
    <w:p>
      <w:pPr>
        <w:spacing w:after="0" w:line="182" w:lineRule="exact"/>
        <w:rPr>
          <w:rFonts w:ascii="Times New Roman" w:cs="Times New Roman" w:eastAsia="Times New Roman" w:hAnsi="Times New Roman"/>
          <w:sz w:val="20"/>
          <w:szCs w:val="20"/>
          <w:color w:val="010000"/>
        </w:rPr>
      </w:pPr>
    </w:p>
    <w:p>
      <w:pPr>
        <w:jc w:val="both"/>
        <w:ind w:left="1500" w:hanging="369"/>
        <w:spacing w:after="0" w:line="250" w:lineRule="auto"/>
        <w:tabs>
          <w:tab w:leader="none" w:pos="1500" w:val="left"/>
        </w:tabs>
        <w:numPr>
          <w:ilvl w:val="0"/>
          <w:numId w:val="1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Contracts</w:t>
      </w:r>
      <w:r>
        <w:rPr>
          <w:rFonts w:ascii="Times New Roman" w:cs="Times New Roman" w:eastAsia="Times New Roman" w:hAnsi="Times New Roman"/>
          <w:sz w:val="20"/>
          <w:szCs w:val="20"/>
          <w:color w:val="auto"/>
        </w:rPr>
        <w:t>. Except for those Contracts which are assignable and which Buyer informs Seller prior to the expiration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Examination Period that Buyer elects to assume at Closing, Seller shall deliver a notice of termination with respect to all Contracts, or remove the Property from coverage by the Contracts, on or before the Closing Date at Seller’s sole cost and expense.</w:t>
      </w:r>
    </w:p>
    <w:p>
      <w:pPr>
        <w:spacing w:after="0" w:line="175" w:lineRule="exact"/>
        <w:rPr>
          <w:rFonts w:ascii="Times New Roman" w:cs="Times New Roman" w:eastAsia="Times New Roman" w:hAnsi="Times New Roman"/>
          <w:sz w:val="20"/>
          <w:szCs w:val="20"/>
          <w:color w:val="010000"/>
        </w:rPr>
      </w:pPr>
    </w:p>
    <w:p>
      <w:pPr>
        <w:jc w:val="both"/>
        <w:ind w:left="1500" w:hanging="369"/>
        <w:spacing w:after="0" w:line="243" w:lineRule="auto"/>
        <w:tabs>
          <w:tab w:leader="none" w:pos="1500" w:val="left"/>
        </w:tabs>
        <w:numPr>
          <w:ilvl w:val="0"/>
          <w:numId w:val="1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Violations</w:t>
      </w:r>
      <w:r>
        <w:rPr>
          <w:rFonts w:ascii="Times New Roman" w:cs="Times New Roman" w:eastAsia="Times New Roman" w:hAnsi="Times New Roman"/>
          <w:sz w:val="20"/>
          <w:szCs w:val="20"/>
          <w:color w:val="auto"/>
        </w:rPr>
        <w:t>. Except as expressly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 nothing contained in this Agreement shall be deemed to require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Seller to take or bring any action or proceeding or any other steps to remove any title exception or to expend any moneys therefor, nor shall Buyer have any right of action against Seller, at law or in equity, for Seller’s inability to convey its interest in the Property subject only to the Permitted Exceptions. Buyer agrees to purchase Seller’s interest in the Property subject to any and all violations and non-compliance of any applicable laws, regulations or ordinances (including, without limitation, any applicable zoning, building or development codes or any open or expired building permits) (individually or collectively, “</w:t>
      </w:r>
      <w:r>
        <w:rPr>
          <w:rFonts w:ascii="Times New Roman" w:cs="Times New Roman" w:eastAsia="Times New Roman" w:hAnsi="Times New Roman"/>
          <w:sz w:val="20"/>
          <w:szCs w:val="20"/>
          <w:b w:val="1"/>
          <w:bCs w:val="1"/>
          <w:u w:val="single" w:color="auto"/>
          <w:color w:val="auto"/>
        </w:rPr>
        <w:t>Violations</w:t>
      </w:r>
      <w:r>
        <w:rPr>
          <w:rFonts w:ascii="Times New Roman" w:cs="Times New Roman" w:eastAsia="Times New Roman" w:hAnsi="Times New Roman"/>
          <w:sz w:val="20"/>
          <w:szCs w:val="20"/>
          <w:color w:val="auto"/>
        </w:rPr>
        <w:t>”), or any condition or state of repair or disrepair or other matter or thing, whether or not noted, which, if noted, would result in any Violation being placed on the Property, in each case, without any abatement of or credit against the Purchase Price.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Section  </w:t>
      </w:r>
      <w:r>
        <w:rPr>
          <w:rFonts w:ascii="Times New Roman" w:cs="Times New Roman" w:eastAsia="Times New Roman" w:hAnsi="Times New Roman"/>
          <w:sz w:val="20"/>
          <w:szCs w:val="20"/>
          <w:b w:val="1"/>
          <w:bCs w:val="1"/>
          <w:color w:val="000000"/>
        </w:rPr>
        <w:t>Earnest Money Disbursement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0"/>
          <w:szCs w:val="20"/>
          <w:color w:val="auto"/>
        </w:rPr>
        <w:t>The Earnest Money shall be held by the Escrow Agent, in trust, and disposed of only in accordance with the following provisions:</w:t>
      </w:r>
    </w:p>
    <w:p>
      <w:pPr>
        <w:spacing w:after="0" w:line="108" w:lineRule="exact"/>
        <w:rPr>
          <w:sz w:val="20"/>
          <w:szCs w:val="20"/>
          <w:color w:val="auto"/>
        </w:rPr>
      </w:pPr>
    </w:p>
    <w:p>
      <w:pPr>
        <w:jc w:val="both"/>
        <w:ind w:left="1500" w:hanging="369"/>
        <w:spacing w:after="0" w:line="254" w:lineRule="auto"/>
        <w:tabs>
          <w:tab w:leader="none" w:pos="1500" w:val="left"/>
        </w:tabs>
        <w:numPr>
          <w:ilvl w:val="0"/>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Escrow Agent shall invest the Earnest Money in a money market account reasonably satisfactory to Buyer at Buyer’s sole cost and expense, shall not commingle the Earnest Money with any funds of the Escrow Agent or others, and shall promptly provide Buyer with confirmation of the investments made.</w:t>
      </w:r>
    </w:p>
    <w:p>
      <w:pPr>
        <w:spacing w:after="0" w:line="174" w:lineRule="exact"/>
        <w:rPr>
          <w:rFonts w:ascii="Times New Roman" w:cs="Times New Roman" w:eastAsia="Times New Roman" w:hAnsi="Times New Roman"/>
          <w:sz w:val="20"/>
          <w:szCs w:val="20"/>
          <w:color w:val="010000"/>
        </w:rPr>
      </w:pPr>
    </w:p>
    <w:p>
      <w:pPr>
        <w:jc w:val="both"/>
        <w:ind w:left="1500" w:hanging="369"/>
        <w:spacing w:after="0" w:line="243" w:lineRule="auto"/>
        <w:tabs>
          <w:tab w:leader="none" w:pos="1500" w:val="left"/>
        </w:tabs>
        <w:numPr>
          <w:ilvl w:val="0"/>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Closing occurs, the Escrow Agent shall deliver the Earnest Money to Seller upon the Closing. Subject to the last sentence of this clause (b), if for any reason the Closing does not occur and either party makes a written demand (the “</w:t>
      </w:r>
      <w:r>
        <w:rPr>
          <w:rFonts w:ascii="Times New Roman" w:cs="Times New Roman" w:eastAsia="Times New Roman" w:hAnsi="Times New Roman"/>
          <w:sz w:val="20"/>
          <w:szCs w:val="20"/>
          <w:b w:val="1"/>
          <w:bCs w:val="1"/>
          <w:u w:val="single" w:color="auto"/>
          <w:color w:val="auto"/>
        </w:rPr>
        <w:t>Demand</w:t>
      </w:r>
      <w:r>
        <w:rPr>
          <w:rFonts w:ascii="Times New Roman" w:cs="Times New Roman" w:eastAsia="Times New Roman" w:hAnsi="Times New Roman"/>
          <w:sz w:val="20"/>
          <w:szCs w:val="20"/>
          <w:color w:val="auto"/>
        </w:rPr>
        <w:t>”) upon the Escrow Agent for payment of the Earnest Money to it, the Escrow Agent shall give written notice to the other party of the Demand within one (1) Business Day after receipt of the Demand. If the Escrow Agent does not receive a written objection from the other party to the proposed payment within five (5) Business Days after the giving of such notice by Escrow Agent, the Escrow Agent is hereby authorized to make the payment set forth in the Demand. If the Escrow Agent does receive such written objection within such period, the Escrow Agent shall continue to hold such amount until otherwise directed by written instructions signed by Seller and Buyer or a final judgment of a court.</w:t>
      </w:r>
    </w:p>
    <w:p>
      <w:pPr>
        <w:spacing w:after="0" w:line="189" w:lineRule="exact"/>
        <w:rPr>
          <w:rFonts w:ascii="Times New Roman" w:cs="Times New Roman" w:eastAsia="Times New Roman" w:hAnsi="Times New Roman"/>
          <w:sz w:val="20"/>
          <w:szCs w:val="20"/>
          <w:color w:val="010000"/>
        </w:rPr>
      </w:pPr>
    </w:p>
    <w:p>
      <w:pPr>
        <w:jc w:val="both"/>
        <w:ind w:left="1500" w:hanging="369"/>
        <w:spacing w:after="0" w:line="256" w:lineRule="auto"/>
        <w:tabs>
          <w:tab w:leader="none" w:pos="1500" w:val="left"/>
        </w:tabs>
        <w:numPr>
          <w:ilvl w:val="0"/>
          <w:numId w:val="1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parties acknowledge that the Escrow Agent is acting solely as a stakeholder at their request and for their convenience, that the Escrow Agent shall not be deemed to be the agent of either of the parties, and that the Escrow Agent shall not be liable to either of the parties for any action or omission on its part taken or made in good faith, and not in disregard of this Agreement, but shall be liable for its grossly negligent acts and for any liabilities (including reasonable attorneys’ fees, expenses and disbursements) incurred by Seller or Buyer resulting from the Escrow Agent’s mistake of law respecting the Escrow Agent scope or nature of its duties. Seller and Buyer shall jointly and severally indemnify and hold the Escrow Agent harmless from and against all liabilities (including reasonable attorneys’ fees, expenses and disbursements) incurred in connection with the performance of the Escrow Agent’s duties hereunder, except with respect to actions or omissions taken or made by the Escrow Agent in bad faith, in disregard of this Agreement or involving gross negligence on the part of the Escrow Agent. The Escrow Agent has executed this Agreement in the place indicated on the signature page hereof in order to confirm that the Escrow Agent has received and shall hold the Earnest Money in escrow and shall disburse the Earnest Money pursuant to the provisions of this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Section  </w:t>
      </w:r>
      <w:r>
        <w:rPr>
          <w:rFonts w:ascii="Times New Roman" w:cs="Times New Roman" w:eastAsia="Times New Roman" w:hAnsi="Times New Roman"/>
          <w:sz w:val="20"/>
          <w:szCs w:val="20"/>
          <w:b w:val="1"/>
          <w:bCs w:val="1"/>
          <w:color w:val="000000"/>
        </w:rPr>
        <w:t>Seller’s Representations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8.</w:t>
      </w:r>
    </w:p>
    <w:p>
      <w:pPr>
        <w:spacing w:after="0" w:line="194" w:lineRule="exact"/>
        <w:rPr>
          <w:sz w:val="20"/>
          <w:szCs w:val="20"/>
          <w:color w:val="auto"/>
        </w:rPr>
      </w:pPr>
    </w:p>
    <w:p>
      <w:pPr>
        <w:jc w:val="both"/>
        <w:ind w:firstLine="8"/>
        <w:spacing w:after="0" w:line="254" w:lineRule="auto"/>
        <w:tabs>
          <w:tab w:leader="none" w:pos="189" w:val="left"/>
        </w:tabs>
        <w:numPr>
          <w:ilvl w:val="0"/>
          <w:numId w:val="1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Seller represents and warrants to Buyer the following are true and correct as of the Effective Date and will be true and correct in all material respects as of the Closing Date (unless such representation or warranty is made on and as of a specific date, in which case it shall be true and correct only as of such specific date):</w:t>
      </w:r>
    </w:p>
    <w:p>
      <w:pPr>
        <w:spacing w:after="0" w:line="174" w:lineRule="exact"/>
        <w:rPr>
          <w:rFonts w:ascii="Times New Roman" w:cs="Times New Roman" w:eastAsia="Times New Roman" w:hAnsi="Times New Roman"/>
          <w:sz w:val="20"/>
          <w:szCs w:val="20"/>
          <w:b w:val="1"/>
          <w:bCs w:val="1"/>
          <w:color w:val="auto"/>
        </w:rPr>
      </w:pPr>
    </w:p>
    <w:p>
      <w:pPr>
        <w:jc w:val="both"/>
        <w:ind w:left="1500" w:hanging="369"/>
        <w:spacing w:after="0" w:line="246" w:lineRule="auto"/>
        <w:tabs>
          <w:tab w:leader="none" w:pos="1500" w:val="left"/>
        </w:tabs>
        <w:numPr>
          <w:ilvl w:val="1"/>
          <w:numId w:val="1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Organization and Authorization</w:t>
      </w:r>
      <w:r>
        <w:rPr>
          <w:rFonts w:ascii="Times New Roman" w:cs="Times New Roman" w:eastAsia="Times New Roman" w:hAnsi="Times New Roman"/>
          <w:sz w:val="20"/>
          <w:szCs w:val="20"/>
          <w:color w:val="auto"/>
        </w:rPr>
        <w:t>. Seller is duly organized (or formed), validly existing and in good standing under the laws of its state of organization, and to the extent required by law, the State in which the Property is located. Seller is authorized to consummate the transaction set forth herein and fulfill all of its respective obligations hereunder and under all closing documents to be executed by Seller, and has all necessary power to execute and deliver this Agreement and all closing documents to be executed by Seller, and to perform all of Seller’s obligations hereunder and thereunder;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5" w:name="page196"/>
    <w:bookmarkEnd w:id="195"/>
    <w:p>
      <w:pPr>
        <w:jc w:val="both"/>
        <w:ind w:left="1460" w:hanging="369"/>
        <w:spacing w:after="0" w:line="249" w:lineRule="auto"/>
        <w:tabs>
          <w:tab w:leader="none" w:pos="1460" w:val="left"/>
        </w:tabs>
        <w:numPr>
          <w:ilvl w:val="0"/>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Conflicts</w:t>
      </w:r>
      <w:r>
        <w:rPr>
          <w:rFonts w:ascii="Times New Roman" w:cs="Times New Roman" w:eastAsia="Times New Roman" w:hAnsi="Times New Roman"/>
          <w:sz w:val="20"/>
          <w:szCs w:val="20"/>
          <w:color w:val="auto"/>
        </w:rPr>
        <w:t>. Neither the execution and delivery of this Agreement and all closing documents to be executed by Seller, nor the performance of the obligations of Seller hereunder or thereunder will result in the violation of any law or any provision of the organizational documents of or will conflict with any order or decree of any court or governmental instrumentality of any nature by which Seller is bound;</w:t>
      </w:r>
    </w:p>
    <w:p>
      <w:pPr>
        <w:spacing w:after="0" w:line="175" w:lineRule="exact"/>
        <w:rPr>
          <w:rFonts w:ascii="Times New Roman" w:cs="Times New Roman" w:eastAsia="Times New Roman" w:hAnsi="Times New Roman"/>
          <w:sz w:val="20"/>
          <w:szCs w:val="20"/>
          <w:color w:val="010000"/>
        </w:rPr>
      </w:pPr>
    </w:p>
    <w:p>
      <w:pPr>
        <w:jc w:val="both"/>
        <w:ind w:left="1460" w:hanging="369"/>
        <w:spacing w:after="0" w:line="256" w:lineRule="auto"/>
        <w:tabs>
          <w:tab w:leader="none" w:pos="1460" w:val="left"/>
        </w:tabs>
        <w:numPr>
          <w:ilvl w:val="0"/>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FIRPTA</w:t>
      </w:r>
      <w:r>
        <w:rPr>
          <w:rFonts w:ascii="Times New Roman" w:cs="Times New Roman" w:eastAsia="Times New Roman" w:hAnsi="Times New Roman"/>
          <w:sz w:val="20"/>
          <w:szCs w:val="20"/>
          <w:color w:val="auto"/>
        </w:rPr>
        <w:t>. Seller is not a “foreign person” under the Foreign Investment in Real Property Tax Act of 1980 (“</w:t>
      </w:r>
      <w:r>
        <w:rPr>
          <w:rFonts w:ascii="Times New Roman" w:cs="Times New Roman" w:eastAsia="Times New Roman" w:hAnsi="Times New Roman"/>
          <w:sz w:val="20"/>
          <w:szCs w:val="20"/>
          <w:b w:val="1"/>
          <w:bCs w:val="1"/>
          <w:u w:val="single" w:color="auto"/>
          <w:color w:val="auto"/>
        </w:rPr>
        <w:t>FIRPTA</w:t>
      </w:r>
      <w:r>
        <w:rPr>
          <w:rFonts w:ascii="Times New Roman" w:cs="Times New Roman" w:eastAsia="Times New Roman" w:hAnsi="Times New Roman"/>
          <w:sz w:val="20"/>
          <w:szCs w:val="20"/>
          <w:color w:val="auto"/>
        </w:rPr>
        <w:t>”) and upon consummation of the transaction contemplated hereby, Buyer will not be required to withhold from the Purchase Price any withholding tax;</w:t>
      </w:r>
    </w:p>
    <w:p>
      <w:pPr>
        <w:spacing w:after="0" w:line="172" w:lineRule="exact"/>
        <w:rPr>
          <w:rFonts w:ascii="Times New Roman" w:cs="Times New Roman" w:eastAsia="Times New Roman" w:hAnsi="Times New Roman"/>
          <w:sz w:val="20"/>
          <w:szCs w:val="20"/>
          <w:color w:val="010000"/>
        </w:rPr>
      </w:pPr>
    </w:p>
    <w:p>
      <w:pPr>
        <w:jc w:val="both"/>
        <w:ind w:left="1460" w:hanging="369"/>
        <w:spacing w:after="0" w:line="249" w:lineRule="auto"/>
        <w:tabs>
          <w:tab w:leader="none" w:pos="1460" w:val="left"/>
        </w:tabs>
        <w:numPr>
          <w:ilvl w:val="0"/>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As of the Effective Date, Seller (i) has not received any written notice of and does not have actual knowledge of any current or pending material litigation against Seller or the Property, and (ii) does not have actual knowledge of any current or pending litigation that will have a material adverse effect on Seller or the Property (it being acknowledged that any litigation covered by insurance shall be deemed to not have a material adverse effect on Seller or the Property);</w:t>
      </w:r>
    </w:p>
    <w:p>
      <w:pPr>
        <w:spacing w:after="0" w:line="179" w:lineRule="exact"/>
        <w:rPr>
          <w:rFonts w:ascii="Times New Roman" w:cs="Times New Roman" w:eastAsia="Times New Roman" w:hAnsi="Times New Roman"/>
          <w:sz w:val="20"/>
          <w:szCs w:val="20"/>
          <w:color w:val="010000"/>
        </w:rPr>
      </w:pPr>
    </w:p>
    <w:p>
      <w:pPr>
        <w:jc w:val="both"/>
        <w:ind w:left="1460" w:hanging="369"/>
        <w:spacing w:after="0" w:line="249" w:lineRule="auto"/>
        <w:tabs>
          <w:tab w:leader="none" w:pos="1460" w:val="left"/>
        </w:tabs>
        <w:numPr>
          <w:ilvl w:val="0"/>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Leases</w:t>
      </w:r>
      <w:r>
        <w:rPr>
          <w:rFonts w:ascii="Times New Roman" w:cs="Times New Roman" w:eastAsia="Times New Roman" w:hAnsi="Times New Roman"/>
          <w:sz w:val="20"/>
          <w:szCs w:val="20"/>
          <w:color w:val="auto"/>
        </w:rPr>
        <w:t>. With respect to the Leases, as of the Effective Date, to Seller’s knowledge: (i) Seller has delivered to Buyer, as part of the Asset File, true, correct and complete copies of the Leases in Seller’s possession; (ii) the Leases are in full force and effect; and (iii) Seller has not delivered or received written notice of any defaults under the Leases that remain uncured.</w:t>
      </w:r>
    </w:p>
    <w:p>
      <w:pPr>
        <w:spacing w:after="0" w:line="179"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Material Contracts</w:t>
      </w:r>
      <w:r>
        <w:rPr>
          <w:rFonts w:ascii="Times New Roman" w:cs="Times New Roman" w:eastAsia="Times New Roman" w:hAnsi="Times New Roman"/>
          <w:sz w:val="20"/>
          <w:szCs w:val="20"/>
          <w:color w:val="auto"/>
        </w:rPr>
        <w:t>. As of the Effective Date, Seller is not a party to any Material Contract;</w:t>
      </w:r>
    </w:p>
    <w:p>
      <w:pPr>
        <w:spacing w:after="0" w:line="215" w:lineRule="exact"/>
        <w:rPr>
          <w:rFonts w:ascii="Times New Roman" w:cs="Times New Roman" w:eastAsia="Times New Roman" w:hAnsi="Times New Roman"/>
          <w:sz w:val="20"/>
          <w:szCs w:val="20"/>
          <w:color w:val="010000"/>
        </w:rPr>
      </w:pPr>
    </w:p>
    <w:p>
      <w:pPr>
        <w:jc w:val="both"/>
        <w:ind w:left="1460" w:hanging="369"/>
        <w:spacing w:after="0" w:line="254" w:lineRule="auto"/>
        <w:tabs>
          <w:tab w:leader="none" w:pos="1460" w:val="left"/>
        </w:tabs>
        <w:numPr>
          <w:ilvl w:val="0"/>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Condemnation</w:t>
      </w:r>
      <w:r>
        <w:rPr>
          <w:rFonts w:ascii="Times New Roman" w:cs="Times New Roman" w:eastAsia="Times New Roman" w:hAnsi="Times New Roman"/>
          <w:sz w:val="20"/>
          <w:szCs w:val="20"/>
          <w:color w:val="auto"/>
        </w:rPr>
        <w:t>. As of the Effective Date, Seller has no knowledge of any pending or threatened condemnation proceedings affecting the Property, and Seller has not received any written notice that there is any pending or threatened condemnation of all or any part of the Property;</w:t>
      </w:r>
    </w:p>
    <w:p>
      <w:pPr>
        <w:spacing w:after="0" w:line="174"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Employees</w:t>
      </w:r>
      <w:r>
        <w:rPr>
          <w:rFonts w:ascii="Times New Roman" w:cs="Times New Roman" w:eastAsia="Times New Roman" w:hAnsi="Times New Roman"/>
          <w:sz w:val="20"/>
          <w:szCs w:val="20"/>
          <w:color w:val="auto"/>
        </w:rPr>
        <w:t>. There are no employees of Seller engaged in the operation or maintenance of the Property;</w:t>
      </w:r>
    </w:p>
    <w:p>
      <w:pPr>
        <w:spacing w:after="0" w:line="215" w:lineRule="exact"/>
        <w:rPr>
          <w:rFonts w:ascii="Times New Roman" w:cs="Times New Roman" w:eastAsia="Times New Roman" w:hAnsi="Times New Roman"/>
          <w:sz w:val="20"/>
          <w:szCs w:val="20"/>
          <w:color w:val="010000"/>
        </w:rPr>
      </w:pPr>
    </w:p>
    <w:p>
      <w:pPr>
        <w:ind w:left="1460" w:hanging="369"/>
        <w:spacing w:after="0" w:line="269" w:lineRule="auto"/>
        <w:tabs>
          <w:tab w:leader="none" w:pos="1460" w:val="left"/>
        </w:tabs>
        <w:numPr>
          <w:ilvl w:val="0"/>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Bankruptcy</w:t>
      </w:r>
      <w:r>
        <w:rPr>
          <w:rFonts w:ascii="Times New Roman" w:cs="Times New Roman" w:eastAsia="Times New Roman" w:hAnsi="Times New Roman"/>
          <w:sz w:val="20"/>
          <w:szCs w:val="20"/>
          <w:color w:val="auto"/>
        </w:rPr>
        <w:t>. No petition has been filed by or against Seller under the Federal Bankruptcy Code or any similar State or Federal law; and</w:t>
      </w:r>
    </w:p>
    <w:p>
      <w:pPr>
        <w:spacing w:after="0" w:line="159" w:lineRule="exact"/>
        <w:rPr>
          <w:rFonts w:ascii="Times New Roman" w:cs="Times New Roman" w:eastAsia="Times New Roman" w:hAnsi="Times New Roman"/>
          <w:sz w:val="20"/>
          <w:szCs w:val="20"/>
          <w:color w:val="010000"/>
        </w:rPr>
      </w:pPr>
    </w:p>
    <w:p>
      <w:pPr>
        <w:ind w:left="1460" w:hanging="369"/>
        <w:spacing w:after="0"/>
        <w:tabs>
          <w:tab w:leader="none" w:pos="1460" w:val="left"/>
        </w:tabs>
        <w:numPr>
          <w:ilvl w:val="0"/>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Anti-Money Laundering, Anti-Terrorism, and OFAC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2220" w:hanging="182"/>
        <w:spacing w:after="0" w:line="243" w:lineRule="auto"/>
        <w:rPr>
          <w:sz w:val="20"/>
          <w:szCs w:val="20"/>
          <w:color w:val="auto"/>
        </w:rPr>
      </w:pPr>
      <w:r>
        <w:rPr>
          <w:rFonts w:ascii="Times New Roman" w:cs="Times New Roman" w:eastAsia="Times New Roman" w:hAnsi="Times New Roman"/>
          <w:sz w:val="20"/>
          <w:szCs w:val="20"/>
          <w:color w:val="010000"/>
        </w:rPr>
        <w:t>(i)</w:t>
      </w:r>
      <w:r>
        <w:rPr>
          <w:rFonts w:ascii="Times New Roman" w:cs="Times New Roman" w:eastAsia="Times New Roman" w:hAnsi="Times New Roman"/>
          <w:sz w:val="20"/>
          <w:szCs w:val="20"/>
          <w:color w:val="000000"/>
        </w:rPr>
        <w:t>Neither Seller nor, to Seller’s knowledge, any of its subsidiaries, officers, directors, employees or agents, (1) is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target of any economic sanctions administered by the United States Department of the Treasury’s Office of Foreign Assets Control (“</w:t>
      </w:r>
      <w:r>
        <w:rPr>
          <w:rFonts w:ascii="Times New Roman" w:cs="Times New Roman" w:eastAsia="Times New Roman" w:hAnsi="Times New Roman"/>
          <w:sz w:val="20"/>
          <w:szCs w:val="20"/>
          <w:b w:val="1"/>
          <w:bCs w:val="1"/>
          <w:color w:val="000000"/>
        </w:rPr>
        <w:t>OFAC</w:t>
      </w:r>
      <w:r>
        <w:rPr>
          <w:rFonts w:ascii="Times New Roman" w:cs="Times New Roman" w:eastAsia="Times New Roman" w:hAnsi="Times New Roman"/>
          <w:sz w:val="20"/>
          <w:szCs w:val="20"/>
          <w:color w:val="000000"/>
        </w:rPr>
        <w:t>”), the United States Department of State, or any other applicable economic sanctions authority; or (2) is acting directly or indirectly on behalf of, or is knowingly providing assistance, support, sponsorship, or services of any kind to, terrorists, terrorist organizations, or narcotics traffickers, including those persons or entities that appear on the Annex to the Executive Order, or are included on any Government Lists. “</w:t>
      </w:r>
      <w:r>
        <w:rPr>
          <w:rFonts w:ascii="Times New Roman" w:cs="Times New Roman" w:eastAsia="Times New Roman" w:hAnsi="Times New Roman"/>
          <w:sz w:val="20"/>
          <w:szCs w:val="20"/>
          <w:b w:val="1"/>
          <w:bCs w:val="1"/>
          <w:color w:val="000000"/>
        </w:rPr>
        <w:t>Government List</w:t>
      </w:r>
      <w:r>
        <w:rPr>
          <w:rFonts w:ascii="Times New Roman" w:cs="Times New Roman" w:eastAsia="Times New Roman" w:hAnsi="Times New Roman"/>
          <w:sz w:val="20"/>
          <w:szCs w:val="20"/>
          <w:color w:val="000000"/>
        </w:rPr>
        <w:t>” shall mean any of (i) the Denied Persons List and the Entities List maintained by the United States Department of Commerce, (ii) the Specially Designated Nationals and Blocked Persons List, the Sectoral Sanctions Identifications List, and the Foreign Sanctions Evaders List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3" w:right="339" w:bottom="1440" w:gutter="0" w:footer="0" w:header="0"/>
        </w:sectPr>
      </w:pPr>
    </w:p>
    <w:bookmarkStart w:id="196" w:name="page197"/>
    <w:bookmarkEnd w:id="196"/>
    <w:p>
      <w:pPr>
        <w:jc w:val="both"/>
        <w:ind w:left="2260"/>
        <w:spacing w:after="0" w:line="246" w:lineRule="auto"/>
        <w:rPr>
          <w:sz w:val="20"/>
          <w:szCs w:val="20"/>
          <w:color w:val="auto"/>
        </w:rPr>
      </w:pPr>
      <w:r>
        <w:rPr>
          <w:rFonts w:ascii="Times New Roman" w:cs="Times New Roman" w:eastAsia="Times New Roman" w:hAnsi="Times New Roman"/>
          <w:sz w:val="20"/>
          <w:szCs w:val="20"/>
          <w:color w:val="auto"/>
        </w:rPr>
        <w:t>maintained by OFAC, and (iii) the Foreign Terrorist Organizations List and Debarred Parties List maintained by the United States Department of State. “</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shall mean any federal, state or local government or other political subdivision thereof, including, without limitation, any agency or entity exercising executive, legislative, judicial, regulatory or administrative governmental powers or functions, in each case to the extent the same has jurisdiction over the person, entity or property in question.</w:t>
      </w:r>
    </w:p>
    <w:p>
      <w:pPr>
        <w:spacing w:after="0" w:line="185" w:lineRule="exact"/>
        <w:rPr>
          <w:sz w:val="20"/>
          <w:szCs w:val="20"/>
          <w:color w:val="auto"/>
        </w:rPr>
      </w:pPr>
    </w:p>
    <w:p>
      <w:pPr>
        <w:jc w:val="both"/>
        <w:ind w:left="2320" w:hanging="235"/>
        <w:spacing w:after="0" w:line="246" w:lineRule="auto"/>
        <w:rPr>
          <w:sz w:val="20"/>
          <w:szCs w:val="20"/>
          <w:color w:val="auto"/>
        </w:rPr>
      </w:pPr>
      <w:r>
        <w:rPr>
          <w:rFonts w:ascii="Times New Roman" w:cs="Times New Roman" w:eastAsia="Times New Roman" w:hAnsi="Times New Roman"/>
          <w:sz w:val="20"/>
          <w:szCs w:val="20"/>
          <w:color w:val="010000"/>
        </w:rPr>
        <w:t>(ii)</w:t>
      </w:r>
      <w:r>
        <w:rPr>
          <w:rFonts w:ascii="Times New Roman" w:cs="Times New Roman" w:eastAsia="Times New Roman" w:hAnsi="Times New Roman"/>
          <w:sz w:val="20"/>
          <w:szCs w:val="20"/>
          <w:color w:val="000000"/>
        </w:rPr>
        <w:t>Neither Seller, nor, to Seller’s knowledge, any of its subsidiaries, officers, directors, employees or agents, is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violation of any applicable laws relating to anti-corruption, anti-bribery, terrorism, money laundering or the Uniting and Strengthening America by Providing Appropriate Tools Required to Intercept and Obstruct Terrorism Action of 2001, Public Law 107-56, as amended, and Executive Order No. 13224 (Blocking Property and Prohibiting Transactions with Persons Who Commit, Threaten to Commit, or Support Terrorism).</w:t>
      </w:r>
    </w:p>
    <w:p>
      <w:pPr>
        <w:spacing w:after="0" w:line="185" w:lineRule="exact"/>
        <w:rPr>
          <w:sz w:val="20"/>
          <w:szCs w:val="20"/>
          <w:color w:val="auto"/>
        </w:rPr>
      </w:pPr>
    </w:p>
    <w:p>
      <w:pPr>
        <w:ind w:left="1500" w:right="20" w:hanging="369"/>
        <w:spacing w:after="0" w:line="269" w:lineRule="auto"/>
        <w:tabs>
          <w:tab w:leader="none" w:pos="1500" w:val="left"/>
        </w:tabs>
        <w:numPr>
          <w:ilvl w:val="0"/>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Seller is not a “benefit plan investor” within the meaning of Section 3(42) of the Employee Retirement Income Security Act of 1974, as amended (“ERISA”).</w:t>
      </w:r>
    </w:p>
    <w:p>
      <w:pPr>
        <w:spacing w:after="0" w:line="155"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 xml:space="preserve">Terms such as “to Seller’s knowledge,” “to the best of Seller’s knowledge” or like phrases mean the actual knowledge of (i) </w:t>
      </w:r>
      <w:r>
        <w:rPr>
          <w:rFonts w:ascii="Times New Roman" w:cs="Times New Roman" w:eastAsia="Times New Roman" w:hAnsi="Times New Roman"/>
          <w:sz w:val="20"/>
          <w:szCs w:val="20"/>
          <w:b w:val="1"/>
          <w:bCs w:val="1"/>
          <w:color w:val="auto"/>
        </w:rPr>
        <w:t>Andrew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Goodman</w:t>
      </w:r>
      <w:r>
        <w:rPr>
          <w:rFonts w:ascii="Times New Roman" w:cs="Times New Roman" w:eastAsia="Times New Roman" w:hAnsi="Times New Roman"/>
          <w:sz w:val="20"/>
          <w:szCs w:val="20"/>
          <w:color w:val="auto"/>
        </w:rPr>
        <w:t>, the individual charged by Seller with supervising the transactions contemplated by this Agreement, and (ii)</w:t>
      </w:r>
      <w:r>
        <w:rPr>
          <w:rFonts w:ascii="Times New Roman" w:cs="Times New Roman" w:eastAsia="Times New Roman" w:hAnsi="Times New Roman"/>
          <w:sz w:val="20"/>
          <w:szCs w:val="20"/>
          <w:b w:val="1"/>
          <w:bCs w:val="1"/>
          <w:color w:val="auto"/>
        </w:rPr>
        <w:t xml:space="preserve"> Glenn Wylie</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individual charged by Seller with supervising the asset management of the Real Property, provided that so qualifying Seller’s knowledge shall in no event give rise to any personal liability on the part of such individual, on account of any breach of any representation or warranty made by Seller herein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Notwithstanding the foregoing, (A)(i) if Buyer has Buyer’s Knowledge of a breach or inaccuracy of any representation or warranty made by Seller in this Agreement prior to the expiration of the Examination Period and Buyer fails to terminate this Agreement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6(c)</w:t>
      </w:r>
      <w:r>
        <w:rPr>
          <w:rFonts w:ascii="Times New Roman" w:cs="Times New Roman" w:eastAsia="Times New Roman" w:hAnsi="Times New Roman"/>
          <w:sz w:val="20"/>
          <w:szCs w:val="20"/>
          <w:color w:val="auto"/>
        </w:rPr>
        <w:t xml:space="preserve"> prior to the expiration of the Examination Period, such representation or warranty by Seller shall be deemed to have been modified to reflect the relevant information of which Buyer has Buyer’s Knowledge and Buyer shall not be permitted to claim a failure of a condition precedent pursuant to </w:t>
      </w:r>
      <w:r>
        <w:rPr>
          <w:rFonts w:ascii="Times New Roman" w:cs="Times New Roman" w:eastAsia="Times New Roman" w:hAnsi="Times New Roman"/>
          <w:sz w:val="20"/>
          <w:szCs w:val="20"/>
          <w:u w:val="single" w:color="auto"/>
          <w:color w:val="auto"/>
        </w:rPr>
        <w:t>Section 10(c)</w:t>
      </w:r>
      <w:r>
        <w:rPr>
          <w:rFonts w:ascii="Times New Roman" w:cs="Times New Roman" w:eastAsia="Times New Roman" w:hAnsi="Times New Roman"/>
          <w:sz w:val="20"/>
          <w:szCs w:val="20"/>
          <w:color w:val="auto"/>
        </w:rPr>
        <w:t xml:space="preserve"> or make a claim following Closing for a breach by Seller of such representation or warranty with respect thereto and/or (ii) if Buyer has Buyer’s Knowledge of a breach of any representation or warranty made by Seller in this Agreement prior to Closing and the Closing nevertheless occurs, such representation or warranty by Seller shall be deemed to have been modified to reflect the relevant information of which Buyer has Buyer’s Knowledge and Buyer shall not be permitted to make a claim following Closing for a breach by Seller of such representation or warranty and (B) Seller’s representations and warranties made herein shall be deemed modified to reflect any change in circumstances which is subject to Section 16.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Section  </w:t>
      </w:r>
      <w:r>
        <w:rPr>
          <w:rFonts w:ascii="Times New Roman" w:cs="Times New Roman" w:eastAsia="Times New Roman" w:hAnsi="Times New Roman"/>
          <w:sz w:val="20"/>
          <w:szCs w:val="20"/>
          <w:b w:val="1"/>
          <w:bCs w:val="1"/>
          <w:color w:val="000000"/>
        </w:rPr>
        <w:t>Buyer’s Representations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9.</w:t>
      </w:r>
    </w:p>
    <w:p>
      <w:pPr>
        <w:spacing w:after="0" w:line="194" w:lineRule="exact"/>
        <w:rPr>
          <w:sz w:val="20"/>
          <w:szCs w:val="20"/>
          <w:color w:val="auto"/>
        </w:rPr>
      </w:pPr>
    </w:p>
    <w:p>
      <w:pPr>
        <w:ind w:left="160" w:hanging="152"/>
        <w:spacing w:after="0"/>
        <w:tabs>
          <w:tab w:leader="none" w:pos="160"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Buyer represents and warrants to Seller as follows:</w:t>
      </w:r>
    </w:p>
    <w:p>
      <w:pPr>
        <w:spacing w:after="0" w:line="215" w:lineRule="exact"/>
        <w:rPr>
          <w:rFonts w:ascii="Times New Roman" w:cs="Times New Roman" w:eastAsia="Times New Roman" w:hAnsi="Times New Roman"/>
          <w:sz w:val="20"/>
          <w:szCs w:val="20"/>
          <w:b w:val="1"/>
          <w:bCs w:val="1"/>
          <w:color w:val="auto"/>
        </w:rPr>
      </w:pPr>
    </w:p>
    <w:p>
      <w:pPr>
        <w:jc w:val="both"/>
        <w:ind w:left="1500" w:hanging="369"/>
        <w:spacing w:after="0" w:line="246" w:lineRule="auto"/>
        <w:tabs>
          <w:tab w:leader="none" w:pos="1500" w:val="left"/>
        </w:tabs>
        <w:numPr>
          <w:ilvl w:val="1"/>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Organization and Authorization</w:t>
      </w:r>
      <w:r>
        <w:rPr>
          <w:rFonts w:ascii="Times New Roman" w:cs="Times New Roman" w:eastAsia="Times New Roman" w:hAnsi="Times New Roman"/>
          <w:sz w:val="20"/>
          <w:szCs w:val="20"/>
          <w:color w:val="auto"/>
        </w:rPr>
        <w:t>. Buyer is duly formed, validly existing and in good standing under the laws of its state of organization, is authorized to consummate the transaction set forth herein and fulfill all of its obligations hereunder and under all closing documents to be executed by Buyer, and has all necessary power to execute and deliver this Agreement and all closing documents to be executed by Buyer, and to perform all of Buyer’s obligations hereunder and thereunder. This Agreement and all closing documents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7" w:name="page198"/>
    <w:bookmarkEnd w:id="197"/>
    <w:p>
      <w:pPr>
        <w:ind w:left="1500"/>
        <w:spacing w:after="0" w:line="269" w:lineRule="auto"/>
        <w:rPr>
          <w:sz w:val="20"/>
          <w:szCs w:val="20"/>
          <w:color w:val="auto"/>
        </w:rPr>
      </w:pPr>
      <w:r>
        <w:rPr>
          <w:rFonts w:ascii="Times New Roman" w:cs="Times New Roman" w:eastAsia="Times New Roman" w:hAnsi="Times New Roman"/>
          <w:sz w:val="20"/>
          <w:szCs w:val="20"/>
          <w:color w:val="auto"/>
        </w:rPr>
        <w:t>to be executed by Buyer have been duly authorized by all requisite corporate or other required action on the part of Buyer and are the valid and legally binding obligations of Buyer, enforceable in accordance with their respective terms.</w:t>
      </w:r>
    </w:p>
    <w:p>
      <w:pPr>
        <w:spacing w:after="0" w:line="159" w:lineRule="exact"/>
        <w:rPr>
          <w:sz w:val="20"/>
          <w:szCs w:val="20"/>
          <w:color w:val="auto"/>
        </w:rPr>
      </w:pPr>
    </w:p>
    <w:p>
      <w:pPr>
        <w:jc w:val="both"/>
        <w:ind w:left="1500" w:hanging="369"/>
        <w:spacing w:after="0" w:line="249" w:lineRule="auto"/>
        <w:tabs>
          <w:tab w:leader="none" w:pos="1500"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Conflicts</w:t>
      </w:r>
      <w:r>
        <w:rPr>
          <w:rFonts w:ascii="Times New Roman" w:cs="Times New Roman" w:eastAsia="Times New Roman" w:hAnsi="Times New Roman"/>
          <w:sz w:val="20"/>
          <w:szCs w:val="20"/>
          <w:color w:val="auto"/>
        </w:rPr>
        <w:t>. Neither the execution and delivery of this Agreement and all closing documents to be executed by Buyer, nor the performance of the obligations of Buyer hereunder or thereunder, will result in the violation of any law or any provision of the organizational documents of Buyer or will conflict with any order or decree of any court or governmental instrumentality of any nature by which Buyer is bound.</w:t>
      </w:r>
    </w:p>
    <w:p>
      <w:pPr>
        <w:spacing w:after="0" w:line="179" w:lineRule="exact"/>
        <w:rPr>
          <w:rFonts w:ascii="Times New Roman" w:cs="Times New Roman" w:eastAsia="Times New Roman" w:hAnsi="Times New Roman"/>
          <w:sz w:val="20"/>
          <w:szCs w:val="20"/>
          <w:color w:val="010000"/>
        </w:rPr>
      </w:pPr>
    </w:p>
    <w:p>
      <w:pPr>
        <w:ind w:left="1500" w:hanging="369"/>
        <w:spacing w:after="0" w:line="269" w:lineRule="auto"/>
        <w:tabs>
          <w:tab w:leader="none" w:pos="1500"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Bankruptcy</w:t>
      </w:r>
      <w:r>
        <w:rPr>
          <w:rFonts w:ascii="Times New Roman" w:cs="Times New Roman" w:eastAsia="Times New Roman" w:hAnsi="Times New Roman"/>
          <w:sz w:val="20"/>
          <w:szCs w:val="20"/>
          <w:color w:val="auto"/>
        </w:rPr>
        <w:t>. No petition has been filed by or against Buyer under the Federal Bankruptcy Code or any similar State or Federal law.</w:t>
      </w:r>
    </w:p>
    <w:p>
      <w:pPr>
        <w:spacing w:after="0" w:line="159" w:lineRule="exact"/>
        <w:rPr>
          <w:rFonts w:ascii="Times New Roman" w:cs="Times New Roman" w:eastAsia="Times New Roman" w:hAnsi="Times New Roman"/>
          <w:sz w:val="20"/>
          <w:szCs w:val="20"/>
          <w:color w:val="010000"/>
        </w:rPr>
      </w:pPr>
    </w:p>
    <w:p>
      <w:pPr>
        <w:ind w:left="1500" w:hanging="369"/>
        <w:spacing w:after="0"/>
        <w:tabs>
          <w:tab w:leader="none" w:pos="1500"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Anti-Money Laundering, Anti-Terrorism, and OFAC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2260" w:hanging="182"/>
        <w:spacing w:after="0" w:line="245" w:lineRule="auto"/>
        <w:rPr>
          <w:sz w:val="20"/>
          <w:szCs w:val="20"/>
          <w:color w:val="auto"/>
        </w:rPr>
      </w:pPr>
      <w:r>
        <w:rPr>
          <w:rFonts w:ascii="Times New Roman" w:cs="Times New Roman" w:eastAsia="Times New Roman" w:hAnsi="Times New Roman"/>
          <w:sz w:val="20"/>
          <w:szCs w:val="20"/>
          <w:color w:val="010000"/>
        </w:rPr>
        <w:t>(i)</w:t>
      </w:r>
      <w:r>
        <w:rPr>
          <w:rFonts w:ascii="Times New Roman" w:cs="Times New Roman" w:eastAsia="Times New Roman" w:hAnsi="Times New Roman"/>
          <w:sz w:val="20"/>
          <w:szCs w:val="20"/>
          <w:color w:val="000000"/>
        </w:rPr>
        <w:t>Neither Buyer nor, to Buyer’s knowledge, any of its subsidiaries, officers, directors, employees or agents, (1) is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target of any economic sanctions administered by OFAC, the United States Department of State, or any other applicable economic sanctions authority; or (2) is acting directly or indirectly on behalf of, or is knowingly providing assistance, support, sponsorship, or services of any kind to, terrorists, terrorist organizations, or narcotics traffickers, including those persons or entities that appear on the Annex to the Executive Order, or are included on any Government Lists.</w:t>
      </w:r>
    </w:p>
    <w:p>
      <w:pPr>
        <w:spacing w:after="0" w:line="184" w:lineRule="exact"/>
        <w:rPr>
          <w:sz w:val="20"/>
          <w:szCs w:val="20"/>
          <w:color w:val="auto"/>
        </w:rPr>
      </w:pPr>
    </w:p>
    <w:p>
      <w:pPr>
        <w:jc w:val="both"/>
        <w:ind w:left="2320" w:hanging="235"/>
        <w:spacing w:after="0" w:line="246" w:lineRule="auto"/>
        <w:rPr>
          <w:sz w:val="20"/>
          <w:szCs w:val="20"/>
          <w:color w:val="auto"/>
        </w:rPr>
      </w:pPr>
      <w:r>
        <w:rPr>
          <w:rFonts w:ascii="Times New Roman" w:cs="Times New Roman" w:eastAsia="Times New Roman" w:hAnsi="Times New Roman"/>
          <w:sz w:val="20"/>
          <w:szCs w:val="20"/>
          <w:color w:val="010000"/>
        </w:rPr>
        <w:t>(ii)</w:t>
      </w:r>
      <w:r>
        <w:rPr>
          <w:rFonts w:ascii="Times New Roman" w:cs="Times New Roman" w:eastAsia="Times New Roman" w:hAnsi="Times New Roman"/>
          <w:sz w:val="20"/>
          <w:szCs w:val="20"/>
          <w:color w:val="000000"/>
        </w:rPr>
        <w:t>Neither Buyer, nor, to Buyer’s knowledge, any of its subsidiaries, officers, directors, employees or agents, is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violation of any applicable laws relating to anti-corruption, anti-bribery, terrorism, money laundering or the Uniting and Strengthening America by Providing Appropriate Tools Required to Intercept and Obstruct Terrorism Action of 2001, Public Law 107-56, as amended, and Executive Order No. 13224 (Blocking Property and Prohibiting Transactions with Persons Who Commit, Threaten to Commit, or Support Terrorism).</w:t>
      </w:r>
    </w:p>
    <w:p>
      <w:pPr>
        <w:spacing w:after="0" w:line="185" w:lineRule="exact"/>
        <w:rPr>
          <w:sz w:val="20"/>
          <w:szCs w:val="20"/>
          <w:color w:val="auto"/>
        </w:rPr>
      </w:pPr>
    </w:p>
    <w:p>
      <w:pPr>
        <w:ind w:left="2260" w:right="20" w:hanging="755"/>
        <w:spacing w:after="0" w:line="269" w:lineRule="auto"/>
        <w:tabs>
          <w:tab w:leader="none" w:pos="2260" w:val="left"/>
        </w:tabs>
        <w:numPr>
          <w:ilvl w:val="1"/>
          <w:numId w:val="1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disclosed to Seller in writing, no natural person owns a 25% or greater interest in Buyer, directly or indirectly.</w:t>
      </w:r>
    </w:p>
    <w:p>
      <w:pPr>
        <w:spacing w:after="0" w:line="159" w:lineRule="exact"/>
        <w:rPr>
          <w:rFonts w:ascii="Times New Roman" w:cs="Times New Roman" w:eastAsia="Times New Roman" w:hAnsi="Times New Roman"/>
          <w:sz w:val="20"/>
          <w:szCs w:val="20"/>
          <w:color w:val="010000"/>
        </w:rPr>
      </w:pPr>
    </w:p>
    <w:p>
      <w:pPr>
        <w:ind w:left="1500" w:hanging="369"/>
        <w:spacing w:after="0" w:line="269" w:lineRule="auto"/>
        <w:tabs>
          <w:tab w:leader="none" w:pos="1500" w:val="left"/>
        </w:tabs>
        <w:numPr>
          <w:ilvl w:val="0"/>
          <w:numId w:val="1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Buyer is not, and no portion of the assets used by Buyer to acquire the Property constitutes the assets of, a “benefit plan investor” within the meaning of Section 3(42) of ERISA.</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Conditions to Buyer’s Obligations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10.</w:t>
      </w:r>
    </w:p>
    <w:p>
      <w:pPr>
        <w:spacing w:after="0" w:line="194" w:lineRule="exact"/>
        <w:rPr>
          <w:sz w:val="20"/>
          <w:szCs w:val="20"/>
          <w:color w:val="auto"/>
        </w:rPr>
      </w:pPr>
    </w:p>
    <w:p>
      <w:pPr>
        <w:ind w:firstLine="8"/>
        <w:spacing w:after="0" w:line="269" w:lineRule="auto"/>
        <w:tabs>
          <w:tab w:leader="none" w:pos="159"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Buyer’s obligation to pay the Purchase Price, and to accept title to the Property, shall be subject to the satisfaction (or waiver by Buyer) of the following conditions precedent on and as of the Closing Date:</w:t>
      </w:r>
    </w:p>
    <w:p>
      <w:pPr>
        <w:spacing w:after="0" w:line="159"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1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Seller shall deliver to Buyer or Title Insurer on or before the Closing Date the items set forth in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010000"/>
        </w:rPr>
      </w:pPr>
    </w:p>
    <w:p>
      <w:pPr>
        <w:ind w:left="1500" w:hanging="369"/>
        <w:spacing w:after="0" w:line="269" w:lineRule="auto"/>
        <w:tabs>
          <w:tab w:leader="none" w:pos="1500" w:val="left"/>
        </w:tabs>
        <w:numPr>
          <w:ilvl w:val="1"/>
          <w:numId w:val="1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Seller shall deliver to Buyer prior to the Closing Date, Tenant Estoppel Certificates from the Required Tenants pursuant to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8" w:name="page199"/>
    <w:bookmarkEnd w:id="198"/>
    <w:p>
      <w:pPr>
        <w:jc w:val="both"/>
        <w:ind w:left="1500" w:hanging="743"/>
        <w:spacing w:after="0" w:line="257" w:lineRule="auto"/>
        <w:tabs>
          <w:tab w:leader="none" w:pos="1500" w:val="left"/>
        </w:tabs>
        <w:numPr>
          <w:ilvl w:val="0"/>
          <w:numId w:val="13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representations and warranties of Seller contained in this Agreement shall have been true in all material respects (materiality to be considered with respect to the transactions contemplated hereunder in the aggregate) at and as of the Effective Date and shall be true in all material respects at and as of the Closing Date (unless such representation or warranty is made on and as of a specific date, in which case it shall be true and correct in all material respects as of such date, materiality to be considered with respect to the transactions contemplated hereunder in the aggregate). Notwithstanding anything to the contrary set forth herein, in the event that a material breach of a representation or warranty by Seller has occurred and to the extent that Seller and Buyer agree that such breach is curable with the payment of monetary funds, Seller shall have the option (but not the obligation) to cure such misrepresentation or warranty by providing a credit in favor of Buyer to the Purchase Price in an amount mutually agreeable to both Buyer and Seller;</w:t>
      </w:r>
    </w:p>
    <w:p>
      <w:pPr>
        <w:spacing w:after="0" w:line="175" w:lineRule="exact"/>
        <w:rPr>
          <w:rFonts w:ascii="Times New Roman" w:cs="Times New Roman" w:eastAsia="Times New Roman" w:hAnsi="Times New Roman"/>
          <w:sz w:val="19"/>
          <w:szCs w:val="19"/>
          <w:color w:val="010000"/>
        </w:rPr>
      </w:pPr>
    </w:p>
    <w:p>
      <w:pPr>
        <w:ind w:left="1500" w:hanging="743"/>
        <w:spacing w:after="0" w:line="269" w:lineRule="auto"/>
        <w:tabs>
          <w:tab w:leader="none" w:pos="1500" w:val="left"/>
        </w:tabs>
        <w:numPr>
          <w:ilvl w:val="0"/>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Seller shall have performed and complied in all material respects with all covenants, agreements and conditions required by this Agreement to be performed or complied with by Seller prior to or at the Closing; and</w:t>
      </w:r>
    </w:p>
    <w:p>
      <w:pPr>
        <w:spacing w:after="0" w:line="159" w:lineRule="exact"/>
        <w:rPr>
          <w:rFonts w:ascii="Times New Roman" w:cs="Times New Roman" w:eastAsia="Times New Roman" w:hAnsi="Times New Roman"/>
          <w:sz w:val="20"/>
          <w:szCs w:val="20"/>
          <w:color w:val="010000"/>
        </w:rPr>
      </w:pPr>
    </w:p>
    <w:p>
      <w:pPr>
        <w:jc w:val="both"/>
        <w:ind w:left="1500" w:right="20" w:hanging="743"/>
        <w:spacing w:after="0" w:line="254" w:lineRule="auto"/>
        <w:tabs>
          <w:tab w:leader="none" w:pos="1500" w:val="left"/>
        </w:tabs>
        <w:numPr>
          <w:ilvl w:val="0"/>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order or injunction of any court or administrative agency of competent jurisdiction nor any statute, rule, regulation or executive order promulgated by any Governmental Authority of competent jurisdiction shall be in effect as of the Closing Date which restrains or prohibits the transfer of the Property.</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If all of the above conditions have not been satisfied or waived in writing by Buyer on or prior to the Closing Date, then Buyer shall have the right to terminate this Agreement, and upon such termination the Earnest Money shall be refunded to Buyer and neither Buyer nor Seller shall have any further rights, obligations or liabilities hereunder, except as otherwise set forth herein. If the failure of any condition precedent to Buyer’s obligations set forth in this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arises as a result of a default by Seller under this Agreement, Buyer shall have the remedies available to Buyer in </w:t>
      </w: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 xml:space="preserve"> unless otherwise provided in this Agreement. Notwithstanding anything contained herein to the contrary, Seller shall have the right (but not the obligation) to adjourn the Closing Date for up to two (2) additional ten (10) Business Day periods in the event that Seller is unable to satisfy the closing conditions set forth in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hereof prior to the applicable Closing Date. The occurrence of the Closing shall constitute conclusive evidence that Buyer has waived any conditions which are not satisfied as of the Closing.</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Buyer agrees that this Agreement and Buyer’s obligations hereunder are not contingent or conditioned upon obtaining a commitment for or closing any financing, and Buyer’s failure to obtain or close any financing for any reason whatsoever shall not be a failure of condition to Buyer’s performance under this Agreement. Buyer further agrees that this Agreement and Buyer’s obligations under this Agreement are not contingent or conditioned upon any matters relating to the COVID-19 pandemic, and Buyer cannot use as an excuse not to Close any act of war, or the public enemy, expropriation or confiscation of facilities by governmental or military authorities, changes in applicable laws, war, rebellion, sabotage or riots, floods, unusually severe weather, pandemic, fires, explosions, or other catastrophes, or other similar occurrences.</w:t>
      </w:r>
    </w:p>
    <w:p>
      <w:pPr>
        <w:spacing w:after="0" w:line="18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Conditions to Seller’s Obligations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11.</w:t>
      </w:r>
    </w:p>
    <w:p>
      <w:pPr>
        <w:spacing w:after="0" w:line="194" w:lineRule="exact"/>
        <w:rPr>
          <w:sz w:val="20"/>
          <w:szCs w:val="20"/>
          <w:color w:val="auto"/>
        </w:rPr>
      </w:pPr>
    </w:p>
    <w:p>
      <w:pPr>
        <w:ind w:firstLine="8"/>
        <w:spacing w:after="0" w:line="269" w:lineRule="auto"/>
        <w:tabs>
          <w:tab w:leader="none" w:pos="20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obligation to deliver title to the Property shall be subject to the satisfaction (or waiver by Seller) of the following conditions precedent on and as of the Closing Date:</w:t>
      </w:r>
    </w:p>
    <w:p>
      <w:pPr>
        <w:spacing w:after="0" w:line="159" w:lineRule="exact"/>
        <w:rPr>
          <w:rFonts w:ascii="Times New Roman" w:cs="Times New Roman" w:eastAsia="Times New Roman" w:hAnsi="Times New Roman"/>
          <w:sz w:val="20"/>
          <w:szCs w:val="20"/>
          <w:color w:val="auto"/>
        </w:rPr>
      </w:pPr>
    </w:p>
    <w:p>
      <w:pPr>
        <w:ind w:left="1500" w:hanging="369"/>
        <w:spacing w:after="0" w:line="269" w:lineRule="auto"/>
        <w:tabs>
          <w:tab w:leader="none" w:pos="1500" w:val="left"/>
        </w:tabs>
        <w:numPr>
          <w:ilvl w:val="1"/>
          <w:numId w:val="1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Buyer shall deliver to Seller upon the Closing the remainder of the Purchase Price, subject to adjustment of such amount pursuant to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9" w:name="page200"/>
    <w:bookmarkEnd w:id="199"/>
    <w:p>
      <w:pPr>
        <w:jc w:val="both"/>
        <w:ind w:left="1500" w:hanging="369"/>
        <w:spacing w:after="0" w:line="254" w:lineRule="auto"/>
        <w:tabs>
          <w:tab w:leader="none" w:pos="1500" w:val="left"/>
        </w:tabs>
        <w:numPr>
          <w:ilvl w:val="0"/>
          <w:numId w:val="1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representations and warranties of Buyer contained in this Agreement shall have been true when made and shall be true in all material respects at and as of the Closing Date as if such representations and warranties were made at and as of the Closing;</w:t>
      </w:r>
    </w:p>
    <w:p>
      <w:pPr>
        <w:spacing w:after="0" w:line="174" w:lineRule="exact"/>
        <w:rPr>
          <w:rFonts w:ascii="Times New Roman" w:cs="Times New Roman" w:eastAsia="Times New Roman" w:hAnsi="Times New Roman"/>
          <w:sz w:val="20"/>
          <w:szCs w:val="20"/>
          <w:color w:val="010000"/>
        </w:rPr>
      </w:pPr>
    </w:p>
    <w:p>
      <w:pPr>
        <w:ind w:left="1500" w:hanging="369"/>
        <w:spacing w:after="0" w:line="269" w:lineRule="auto"/>
        <w:tabs>
          <w:tab w:leader="none" w:pos="1500" w:val="left"/>
        </w:tabs>
        <w:numPr>
          <w:ilvl w:val="0"/>
          <w:numId w:val="1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Buyer shall have performed and complied in all material respects with all covenants, agreements and conditions required by this Agreement to be performed or complied with by Buyer prior to or at the Closing; and</w:t>
      </w:r>
    </w:p>
    <w:p>
      <w:pPr>
        <w:spacing w:after="0" w:line="159" w:lineRule="exact"/>
        <w:rPr>
          <w:rFonts w:ascii="Times New Roman" w:cs="Times New Roman" w:eastAsia="Times New Roman" w:hAnsi="Times New Roman"/>
          <w:sz w:val="20"/>
          <w:szCs w:val="20"/>
          <w:color w:val="010000"/>
        </w:rPr>
      </w:pPr>
    </w:p>
    <w:p>
      <w:pPr>
        <w:jc w:val="both"/>
        <w:ind w:left="1500" w:right="20" w:hanging="369"/>
        <w:spacing w:after="0" w:line="254" w:lineRule="auto"/>
        <w:tabs>
          <w:tab w:leader="none" w:pos="1500" w:val="left"/>
        </w:tabs>
        <w:numPr>
          <w:ilvl w:val="0"/>
          <w:numId w:val="1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order or injunction of any court or administrative agency of competent jurisdiction nor any statute, rule, regulation or executive order promulgated by any Governmental Authority of competent jurisdiction shall be in effect as of the Closing Date which restrains or prohibits the transfer of the Property.</w:t>
      </w:r>
    </w:p>
    <w:p>
      <w:pPr>
        <w:spacing w:after="0" w:line="1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If all of the above conditions have not been satisfied or waived in writing by Seller on or prior to the Closing Date, and Buyer fails to satisfy such conditions within </w:t>
      </w:r>
      <w:r>
        <w:rPr>
          <w:rFonts w:ascii="Times New Roman" w:cs="Times New Roman" w:eastAsia="Times New Roman" w:hAnsi="Times New Roman"/>
          <w:sz w:val="20"/>
          <w:szCs w:val="20"/>
          <w:b w:val="1"/>
          <w:bCs w:val="1"/>
          <w:color w:val="auto"/>
        </w:rPr>
        <w:t>three (3) Business Days</w:t>
      </w:r>
      <w:r>
        <w:rPr>
          <w:rFonts w:ascii="Times New Roman" w:cs="Times New Roman" w:eastAsia="Times New Roman" w:hAnsi="Times New Roman"/>
          <w:sz w:val="20"/>
          <w:szCs w:val="20"/>
          <w:color w:val="auto"/>
        </w:rPr>
        <w:t xml:space="preserve"> after written notice to Buyer thereof, then Seller shall have the right to terminate this Agreement, and, subject to the following sentence, upon such termination the Earnest Money shall be refunded to Buyer and neither Buyer nor Seller shall have any further rights, obligations or liabilities hereunder, except as otherwise set forth herein. If the failure of any condition precedent to Seller’s obligations set forth in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arises as a result of a default by Buyer under this Agreement, and Buyer fails to cure such default within </w:t>
      </w:r>
      <w:r>
        <w:rPr>
          <w:rFonts w:ascii="Times New Roman" w:cs="Times New Roman" w:eastAsia="Times New Roman" w:hAnsi="Times New Roman"/>
          <w:sz w:val="20"/>
          <w:szCs w:val="20"/>
          <w:b w:val="1"/>
          <w:bCs w:val="1"/>
          <w:color w:val="auto"/>
        </w:rPr>
        <w:t>three (3) Business Days</w:t>
      </w:r>
      <w:r>
        <w:rPr>
          <w:rFonts w:ascii="Times New Roman" w:cs="Times New Roman" w:eastAsia="Times New Roman" w:hAnsi="Times New Roman"/>
          <w:sz w:val="20"/>
          <w:szCs w:val="20"/>
          <w:color w:val="auto"/>
        </w:rPr>
        <w:t xml:space="preserve"> after written notice to Buyer thereof, the Earnest Money shall not be refunded to Buyer and Seller shall have the remedies available to Seller in </w:t>
      </w:r>
      <w:r>
        <w:rPr>
          <w:rFonts w:ascii="Times New Roman" w:cs="Times New Roman" w:eastAsia="Times New Roman" w:hAnsi="Times New Roman"/>
          <w:sz w:val="20"/>
          <w:szCs w:val="20"/>
          <w:u w:val="single" w:color="auto"/>
          <w:color w:val="auto"/>
        </w:rPr>
        <w:t>Section 15(a)</w:t>
      </w:r>
      <w:r>
        <w:rPr>
          <w:rFonts w:ascii="Times New Roman" w:cs="Times New Roman" w:eastAsia="Times New Roman" w:hAnsi="Times New Roman"/>
          <w:sz w:val="20"/>
          <w:szCs w:val="20"/>
          <w:color w:val="auto"/>
        </w:rPr>
        <w:t xml:space="preserve"> unless otherwise provided in this Agreement.</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occurrence of the Closing shall constitute conclusive evidence that Seller has waived any conditions which are not satisfied as of the Closing.</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Seller Covenants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12.</w:t>
      </w:r>
    </w:p>
    <w:p>
      <w:pPr>
        <w:spacing w:after="0" w:line="194" w:lineRule="exact"/>
        <w:rPr>
          <w:sz w:val="20"/>
          <w:szCs w:val="20"/>
          <w:color w:val="auto"/>
        </w:rPr>
      </w:pPr>
    </w:p>
    <w:p>
      <w:pPr>
        <w:jc w:val="both"/>
        <w:ind w:firstLine="8"/>
        <w:spacing w:after="0" w:line="241" w:lineRule="auto"/>
        <w:tabs>
          <w:tab w:leader="none" w:pos="175" w:val="left"/>
        </w:tabs>
        <w:numPr>
          <w:ilvl w:val="0"/>
          <w:numId w:val="1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Provided that this Agreement is in full force and effect and Buyer is not in default of this Agreement beyond applicable notice and cure periods, Seller agrees that it: (a) shall continue to operate the Property in substantially the same manner in which Seller has previously operated the Property (except that Seller shall not be required (A) to cure, remove or close out any Violations, (B) to make any capital improvements or replacements to the Property or (C) pursue and/or evict any defaulting Tenant; and (b) shall not, following the expiration of the Examination Period, without Buyer’s prior written consent, which consent may be granted or withheld in Buyer’s sole and absolute discretion: (i) enter into a New Lease or amend any of the Leases in any manner (unless such amendment is non-discretionary); (ii) consent to an assignment of any Lease or a sublease of the premises demised thereunder or a termination or surrender thereof (unless such consent is non-discretionary); (iii) consent to an alteration of the premises demised under any Lease (unless such consent is non-discretionary); and/or (iv) enter into any third party contracts, equipment leases or other material agreements affecting the Property, provided that Seller may enter into any such contracts without Buyer’s consent if such contract (x) is necessary as a result of an emergency at the Property, (y) is not a Material Contract and is entered into in the course of customary maintenance, repairs or operation at the Property or (z) is required by Seller to perform its obligations under any Lease or to comply with any applicable laws. Notwithstanding anything herein to the contrary, Seller shall have no obligation to incur any material cost or liability in connection with such efforts or to make any payments or to grant any concessions under the Leases.</w:t>
      </w:r>
    </w:p>
    <w:p>
      <w:pPr>
        <w:spacing w:after="0" w:line="19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Tenant Estoppel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13.</w:t>
      </w:r>
    </w:p>
    <w:p>
      <w:pPr>
        <w:spacing w:after="0" w:line="194" w:lineRule="exact"/>
        <w:rPr>
          <w:sz w:val="20"/>
          <w:szCs w:val="20"/>
          <w:color w:val="auto"/>
        </w:rPr>
      </w:pPr>
    </w:p>
    <w:p>
      <w:pPr>
        <w:ind w:firstLine="8"/>
        <w:spacing w:after="0" w:line="269" w:lineRule="auto"/>
        <w:tabs>
          <w:tab w:leader="none" w:pos="99" w:val="left"/>
        </w:tabs>
        <w:numPr>
          <w:ilvl w:val="0"/>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Seller shall use commercially reasonable efforts to obtain, as of the Closing Date, estoppel certificates from the Tenants (other than Buyer or any Affiliate of Buyer that is a Tenant) in the form of </w:t>
      </w:r>
      <w:r>
        <w:rPr>
          <w:rFonts w:ascii="Times New Roman" w:cs="Times New Roman" w:eastAsia="Times New Roman" w:hAnsi="Times New Roman"/>
          <w:sz w:val="20"/>
          <w:szCs w:val="20"/>
          <w:b w:val="1"/>
          <w:bCs w:val="1"/>
          <w:u w:val="single" w:color="auto"/>
          <w:color w:val="auto"/>
        </w:rPr>
        <w:t>Exhibit 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0" w:name="page201"/>
    <w:bookmarkEnd w:id="200"/>
    <w:p>
      <w:pPr>
        <w:jc w:val="both"/>
        <w:ind w:firstLine="66"/>
        <w:spacing w:after="0" w:line="253" w:lineRule="auto"/>
        <w:rPr>
          <w:sz w:val="20"/>
          <w:szCs w:val="20"/>
          <w:color w:val="auto"/>
        </w:rPr>
      </w:pPr>
      <w:r>
        <w:rPr>
          <w:rFonts w:ascii="Times New Roman" w:cs="Times New Roman" w:eastAsia="Times New Roman" w:hAnsi="Times New Roman"/>
          <w:sz w:val="19"/>
          <w:szCs w:val="19"/>
          <w:color w:val="auto"/>
        </w:rPr>
        <w:t xml:space="preserve">attached hereto or in the form attached to such Tenant’s Lease, if applicable (provided, for avoidance of doubt, if a Tenant is required or permitted under the terms of its Lease or applicable standard form to provide less information or to otherwise make different statements in a certification of such nature than are set forth on </w:t>
      </w:r>
      <w:r>
        <w:rPr>
          <w:rFonts w:ascii="Times New Roman" w:cs="Times New Roman" w:eastAsia="Times New Roman" w:hAnsi="Times New Roman"/>
          <w:sz w:val="19"/>
          <w:szCs w:val="19"/>
          <w:b w:val="1"/>
          <w:bCs w:val="1"/>
          <w:u w:val="single" w:color="auto"/>
          <w:color w:val="auto"/>
        </w:rPr>
        <w:t>Exhibit D</w:t>
      </w:r>
      <w:r>
        <w:rPr>
          <w:rFonts w:ascii="Times New Roman" w:cs="Times New Roman" w:eastAsia="Times New Roman" w:hAnsi="Times New Roman"/>
          <w:sz w:val="19"/>
          <w:szCs w:val="19"/>
          <w:color w:val="auto"/>
        </w:rPr>
        <w:t>, then Buyer shall accept any modifications made to such form of Tenant Estoppel Certificate to the extent that such modifications to the form are consistent with the requirements set forth in the applicable Lease (it being understood by Buyer that a Tenant shall not be required to make any certifications not specifically enumerated in the applicable Lease estoppel requirements even if the applicable Lease requires the Tenant to certify to any additional items “reasonably requested”) (each, a “</w:t>
      </w:r>
      <w:r>
        <w:rPr>
          <w:rFonts w:ascii="Times New Roman" w:cs="Times New Roman" w:eastAsia="Times New Roman" w:hAnsi="Times New Roman"/>
          <w:sz w:val="19"/>
          <w:szCs w:val="19"/>
          <w:b w:val="1"/>
          <w:bCs w:val="1"/>
          <w:u w:val="single" w:color="auto"/>
          <w:color w:val="auto"/>
        </w:rPr>
        <w:t>Tenant Estoppel Certificate</w:t>
      </w:r>
      <w:r>
        <w:rPr>
          <w:rFonts w:ascii="Times New Roman" w:cs="Times New Roman" w:eastAsia="Times New Roman" w:hAnsi="Times New Roman"/>
          <w:sz w:val="19"/>
          <w:szCs w:val="19"/>
          <w:color w:val="auto"/>
        </w:rPr>
        <w:t xml:space="preserve">”). Notwithstanding anything herein to the contrary, Buyer shall have no right to object (and the closing condition set forth in </w:t>
      </w:r>
      <w:r>
        <w:rPr>
          <w:rFonts w:ascii="Times New Roman" w:cs="Times New Roman" w:eastAsia="Times New Roman" w:hAnsi="Times New Roman"/>
          <w:sz w:val="19"/>
          <w:szCs w:val="19"/>
          <w:u w:val="single" w:color="auto"/>
          <w:color w:val="auto"/>
        </w:rPr>
        <w:t>Section 10(b)</w:t>
      </w:r>
      <w:r>
        <w:rPr>
          <w:rFonts w:ascii="Times New Roman" w:cs="Times New Roman" w:eastAsia="Times New Roman" w:hAnsi="Times New Roman"/>
          <w:sz w:val="19"/>
          <w:szCs w:val="19"/>
          <w:color w:val="auto"/>
        </w:rPr>
        <w:t xml:space="preserve"> shall be deemed to have been satisfied) if Seller delivers to Buyer a Tenant Estoppel Certificate which is in the form or substance provided under such Lease, otherwise substantially in the form of </w:t>
      </w:r>
      <w:r>
        <w:rPr>
          <w:rFonts w:ascii="Times New Roman" w:cs="Times New Roman" w:eastAsia="Times New Roman" w:hAnsi="Times New Roman"/>
          <w:sz w:val="19"/>
          <w:szCs w:val="19"/>
          <w:b w:val="1"/>
          <w:bCs w:val="1"/>
          <w:u w:val="single" w:color="auto"/>
          <w:color w:val="auto"/>
        </w:rPr>
        <w:t>Exhibit D</w:t>
      </w:r>
      <w:r>
        <w:rPr>
          <w:rFonts w:ascii="Times New Roman" w:cs="Times New Roman" w:eastAsia="Times New Roman" w:hAnsi="Times New Roman"/>
          <w:sz w:val="19"/>
          <w:szCs w:val="19"/>
          <w:color w:val="auto"/>
        </w:rPr>
        <w:t xml:space="preserve"> attached hereto, or with respect to any national Tenant, on such Tenant’s standard form, in each case, subject to (A) non-material modification thereof, (B) such Tenant making note of items which constitute Permitted Exceptions or items which Seller otherwise agrees to discharge, (C) modifications thereof to conform the same to the applicable Lease or other information delivered to Buyer prior to the expiration of the Examination Period, (D) such Tenant referencing a general condition statement such as “we reserve all rights” (or words of similar import) or limiting its statements “to tenant’s knowledge” (or words of similar import), (E) such Tenant making an assertion that there are amounts due from Seller to such Tenant allocable to periods prior to the Closing and which, under the terms of this Agreement, Seller has agreed to pay or give a credit to Buyer, (F) provided that such Tenant does not allege a default or failure to perform a landlord obligation under the applicable Lease, such Tenant alleging a failure of the landlord to keep the Property, building systems, or other improvements or equipment in good order and repair, and/or</w:t>
      </w:r>
    </w:p>
    <w:p>
      <w:pPr>
        <w:spacing w:after="0" w:line="8" w:lineRule="exact"/>
        <w:rPr>
          <w:sz w:val="20"/>
          <w:szCs w:val="20"/>
          <w:color w:val="auto"/>
        </w:rPr>
      </w:pPr>
    </w:p>
    <w:p>
      <w:pPr>
        <w:jc w:val="both"/>
        <w:ind w:firstLine="8"/>
        <w:spacing w:after="0" w:line="252" w:lineRule="auto"/>
        <w:tabs>
          <w:tab w:leader="none" w:pos="341"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Tenant referencing Tenant defaults or breaches or other matters described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xml:space="preserve"> or otherwise subject to Buyer’s Knowledge. Buyer’s closing condition as set forth in </w:t>
      </w:r>
      <w:r>
        <w:rPr>
          <w:rFonts w:ascii="Times New Roman" w:cs="Times New Roman" w:eastAsia="Times New Roman" w:hAnsi="Times New Roman"/>
          <w:sz w:val="19"/>
          <w:szCs w:val="19"/>
          <w:u w:val="single" w:color="auto"/>
          <w:color w:val="auto"/>
        </w:rPr>
        <w:t>Section 10(b)</w:t>
      </w:r>
      <w:r>
        <w:rPr>
          <w:rFonts w:ascii="Times New Roman" w:cs="Times New Roman" w:eastAsia="Times New Roman" w:hAnsi="Times New Roman"/>
          <w:sz w:val="19"/>
          <w:szCs w:val="19"/>
          <w:color w:val="auto"/>
        </w:rPr>
        <w:t xml:space="preserve"> shall be deemed satisfied and irrevocably waived by Buyer if the Tenant Estoppel Certificates for the Required Tenants have been delivered to Buyer at any time after the Effective Date. Buyer shall have no right to object to the form of any Tenant Estoppel Certificate delivered by a Tenant (or modifications thereto proposed by a Tenant) if Buyer does not object in a written notice to Seller identifying Buyer’s specific objections to the language used in a form of a Tenant Estoppel Certificate within three</w:t>
      </w:r>
    </w:p>
    <w:p>
      <w:pPr>
        <w:jc w:val="both"/>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(3) Business Days after receipt by Buyer of such Tenant Estoppel Certificate. Buyer shall respond promptly to any communication from Seller regarding a properly delivered objection to a Tenant Estoppel Certificate. Notwithstanding anything to the contrary, if Seller is unable to obtain the Tenant Estoppel Certificate from any Tenant as of the Closing Date, then to satisfy such condition set forth in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but for not more than Tenants that, in the aggregate, represent more than </w:t>
      </w:r>
      <w:r>
        <w:rPr>
          <w:rFonts w:ascii="Times New Roman" w:cs="Times New Roman" w:eastAsia="Times New Roman" w:hAnsi="Times New Roman"/>
          <w:sz w:val="20"/>
          <w:szCs w:val="20"/>
          <w:b w:val="1"/>
          <w:bCs w:val="1"/>
          <w:color w:val="auto"/>
        </w:rPr>
        <w:t>15%</w:t>
      </w:r>
      <w:r>
        <w:rPr>
          <w:rFonts w:ascii="Times New Roman" w:cs="Times New Roman" w:eastAsia="Times New Roman" w:hAnsi="Times New Roman"/>
          <w:sz w:val="20"/>
          <w:szCs w:val="20"/>
          <w:color w:val="auto"/>
        </w:rPr>
        <w:t xml:space="preserve"> of the Total Non-Affiliated Square Footage, Seller may (but shall not be obligated to) deliver certificates executed by Seller in the form attached as </w:t>
      </w:r>
      <w:r>
        <w:rPr>
          <w:rFonts w:ascii="Times New Roman" w:cs="Times New Roman" w:eastAsia="Times New Roman" w:hAnsi="Times New Roman"/>
          <w:sz w:val="20"/>
          <w:szCs w:val="20"/>
          <w:b w:val="1"/>
          <w:bCs w:val="1"/>
          <w:u w:val="single" w:color="auto"/>
          <w:color w:val="auto"/>
        </w:rPr>
        <w:t>Exhibit E</w:t>
      </w:r>
      <w:r>
        <w:rPr>
          <w:rFonts w:ascii="Times New Roman" w:cs="Times New Roman" w:eastAsia="Times New Roman" w:hAnsi="Times New Roman"/>
          <w:sz w:val="20"/>
          <w:szCs w:val="20"/>
          <w:color w:val="auto"/>
        </w:rPr>
        <w:t xml:space="preserve"> hereto (the “</w:t>
      </w:r>
      <w:r>
        <w:rPr>
          <w:rFonts w:ascii="Times New Roman" w:cs="Times New Roman" w:eastAsia="Times New Roman" w:hAnsi="Times New Roman"/>
          <w:sz w:val="20"/>
          <w:szCs w:val="20"/>
          <w:b w:val="1"/>
          <w:bCs w:val="1"/>
          <w:u w:val="single" w:color="auto"/>
          <w:color w:val="auto"/>
        </w:rPr>
        <w:t>Seller Estoppel Certificate</w:t>
      </w:r>
      <w:r>
        <w:rPr>
          <w:rFonts w:ascii="Times New Roman" w:cs="Times New Roman" w:eastAsia="Times New Roman" w:hAnsi="Times New Roman"/>
          <w:sz w:val="20"/>
          <w:szCs w:val="20"/>
          <w:color w:val="auto"/>
        </w:rPr>
        <w:t xml:space="preserve">”), which shall be dated as of the Closing Date and shall be subject to Buyer’s Knowledge and the limitations set forth in </w:t>
      </w:r>
      <w:r>
        <w:rPr>
          <w:rFonts w:ascii="Times New Roman" w:cs="Times New Roman" w:eastAsia="Times New Roman" w:hAnsi="Times New Roman"/>
          <w:sz w:val="20"/>
          <w:szCs w:val="20"/>
          <w:u w:val="single" w:color="auto"/>
          <w:color w:val="auto"/>
        </w:rPr>
        <w:t>Section 15(c)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15(d)</w:t>
      </w:r>
      <w:r>
        <w:rPr>
          <w:rFonts w:ascii="Times New Roman" w:cs="Times New Roman" w:eastAsia="Times New Roman" w:hAnsi="Times New Roman"/>
          <w:sz w:val="20"/>
          <w:szCs w:val="20"/>
          <w:color w:val="auto"/>
        </w:rPr>
        <w:t>. In addition, Seller shall automatically be released from any liability with respect to any Seller Estoppel Certificate upon the delivery to Buyer of an executed Tenant Estoppel Certificate from such Tenant for which Seller has delivered such Seller Estoppel Certificate. For the avoidance of doubt, Seller’s failure to deliver the Required Tenant Estoppels shall not constitute a default by Seller.</w:t>
      </w:r>
    </w:p>
    <w:p>
      <w:pPr>
        <w:spacing w:after="0" w:line="18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Closing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14.</w:t>
      </w:r>
    </w:p>
    <w:p>
      <w:pPr>
        <w:spacing w:after="0" w:line="194" w:lineRule="exact"/>
        <w:rPr>
          <w:sz w:val="20"/>
          <w:szCs w:val="20"/>
          <w:color w:val="auto"/>
        </w:rPr>
      </w:pPr>
    </w:p>
    <w:p>
      <w:pPr>
        <w:jc w:val="both"/>
        <w:ind w:firstLine="8"/>
        <w:spacing w:after="0" w:line="254" w:lineRule="auto"/>
        <w:tabs>
          <w:tab w:leader="none" w:pos="159"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shall occur on the Closing Date and shall consist of the execution and delivery of documents by Seller and Buyer, as set forth below, and delivery by Buyer to Seller of the Purchase Price in accordance with the terms of this Agreement. Seller shall deliver to Buyer at Closing the following executed documents with respect to the Property owned by Seller:</w:t>
      </w:r>
    </w:p>
    <w:p>
      <w:pPr>
        <w:spacing w:after="0" w:line="170" w:lineRule="exact"/>
        <w:rPr>
          <w:rFonts w:ascii="Times New Roman" w:cs="Times New Roman" w:eastAsia="Times New Roman" w:hAnsi="Times New Roman"/>
          <w:sz w:val="20"/>
          <w:szCs w:val="20"/>
          <w:color w:val="auto"/>
        </w:rPr>
      </w:pPr>
    </w:p>
    <w:p>
      <w:pPr>
        <w:ind w:left="1500" w:hanging="369"/>
        <w:spacing w:after="0" w:line="273" w:lineRule="auto"/>
        <w:tabs>
          <w:tab w:leader="none" w:pos="1500" w:val="left"/>
        </w:tabs>
        <w:numPr>
          <w:ilvl w:val="1"/>
          <w:numId w:val="1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deed in the form attached hereto as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xml:space="preserve"> from Seller to Buyer conveying the Real Property to Buyer subject only to the Permitted Exceptions (the “</w:t>
      </w:r>
      <w:r>
        <w:rPr>
          <w:rFonts w:ascii="Times New Roman" w:cs="Times New Roman" w:eastAsia="Times New Roman" w:hAnsi="Times New Roman"/>
          <w:sz w:val="20"/>
          <w:szCs w:val="20"/>
          <w:b w:val="1"/>
          <w:bCs w:val="1"/>
          <w:u w:val="single" w:color="auto"/>
          <w:color w:val="auto"/>
        </w:rPr>
        <w:t>Deed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1" w:name="page202"/>
    <w:bookmarkEnd w:id="201"/>
    <w:p>
      <w:pPr>
        <w:ind w:left="1500" w:hanging="369"/>
        <w:spacing w:after="0"/>
        <w:tabs>
          <w:tab w:leader="none" w:pos="1500" w:val="left"/>
        </w:tabs>
        <w:numPr>
          <w:ilvl w:val="0"/>
          <w:numId w:val="1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general assignment, in the form attached hereto as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010000"/>
        </w:rPr>
      </w:pPr>
    </w:p>
    <w:p>
      <w:pPr>
        <w:ind w:left="1500" w:right="20" w:hanging="369"/>
        <w:spacing w:after="0" w:line="269" w:lineRule="auto"/>
        <w:tabs>
          <w:tab w:leader="none" w:pos="1500" w:val="left"/>
        </w:tabs>
        <w:numPr>
          <w:ilvl w:val="0"/>
          <w:numId w:val="1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settlement statement setting forth the Purchase Price, all prorations and other adjustments to be made pursuant to the terms hereof, and the funds required for Closing as contemplated hereunder</w:t>
      </w:r>
      <w:r>
        <w:rPr>
          <w:rFonts w:ascii="Times New Roman" w:cs="Times New Roman" w:eastAsia="Times New Roman" w:hAnsi="Times New Roman"/>
          <w:sz w:val="20"/>
          <w:szCs w:val="20"/>
          <w:b w:val="1"/>
          <w:bCs w:val="1"/>
          <w:color w:val="auto"/>
        </w:rPr>
        <w:t>;</w:t>
      </w:r>
    </w:p>
    <w:p>
      <w:pPr>
        <w:spacing w:after="0" w:line="159" w:lineRule="exact"/>
        <w:rPr>
          <w:rFonts w:ascii="Times New Roman" w:cs="Times New Roman" w:eastAsia="Times New Roman" w:hAnsi="Times New Roman"/>
          <w:sz w:val="20"/>
          <w:szCs w:val="20"/>
          <w:color w:val="010000"/>
        </w:rPr>
      </w:pPr>
    </w:p>
    <w:p>
      <w:pPr>
        <w:ind w:left="1500" w:hanging="369"/>
        <w:spacing w:after="0" w:line="269" w:lineRule="auto"/>
        <w:tabs>
          <w:tab w:leader="none" w:pos="1500" w:val="left"/>
        </w:tabs>
        <w:numPr>
          <w:ilvl w:val="0"/>
          <w:numId w:val="1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transfer tax statements, declarations and filings as may be necessary or appropriate for purposes of recordation of the Deed;</w:t>
      </w:r>
    </w:p>
    <w:p>
      <w:pPr>
        <w:spacing w:after="0" w:line="159" w:lineRule="exact"/>
        <w:rPr>
          <w:rFonts w:ascii="Times New Roman" w:cs="Times New Roman" w:eastAsia="Times New Roman" w:hAnsi="Times New Roman"/>
          <w:sz w:val="20"/>
          <w:szCs w:val="20"/>
          <w:color w:val="010000"/>
        </w:rPr>
      </w:pPr>
    </w:p>
    <w:p>
      <w:pPr>
        <w:ind w:left="1500" w:hanging="369"/>
        <w:spacing w:after="0" w:line="269" w:lineRule="auto"/>
        <w:tabs>
          <w:tab w:leader="none" w:pos="1500" w:val="left"/>
        </w:tabs>
        <w:numPr>
          <w:ilvl w:val="0"/>
          <w:numId w:val="1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required by the Title Insurer, good standing certificates and corporate resolutions or member or partner consents, as applicable, and such other documents as reasonably requested by the Title Insurer;</w:t>
      </w:r>
    </w:p>
    <w:p>
      <w:pPr>
        <w:spacing w:after="0" w:line="155" w:lineRule="exact"/>
        <w:rPr>
          <w:rFonts w:ascii="Times New Roman" w:cs="Times New Roman" w:eastAsia="Times New Roman" w:hAnsi="Times New Roman"/>
          <w:sz w:val="20"/>
          <w:szCs w:val="20"/>
          <w:color w:val="010000"/>
        </w:rPr>
      </w:pPr>
    </w:p>
    <w:p>
      <w:pPr>
        <w:ind w:left="1500" w:hanging="369"/>
        <w:spacing w:after="0"/>
        <w:tabs>
          <w:tab w:leader="none" w:pos="1500" w:val="left"/>
        </w:tabs>
        <w:numPr>
          <w:ilvl w:val="0"/>
          <w:numId w:val="1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FIRPTA Affidavit in form of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color w:val="auto"/>
        </w:rPr>
        <w:t xml:space="preserve"> attached hereto;</w:t>
      </w:r>
    </w:p>
    <w:p>
      <w:pPr>
        <w:spacing w:after="0" w:line="219" w:lineRule="exact"/>
        <w:rPr>
          <w:rFonts w:ascii="Times New Roman" w:cs="Times New Roman" w:eastAsia="Times New Roman" w:hAnsi="Times New Roman"/>
          <w:sz w:val="20"/>
          <w:szCs w:val="20"/>
          <w:color w:val="010000"/>
        </w:rPr>
      </w:pPr>
    </w:p>
    <w:p>
      <w:pPr>
        <w:ind w:left="1500" w:hanging="369"/>
        <w:spacing w:after="0" w:line="269" w:lineRule="auto"/>
        <w:tabs>
          <w:tab w:leader="none" w:pos="1500" w:val="left"/>
        </w:tabs>
        <w:numPr>
          <w:ilvl w:val="0"/>
          <w:numId w:val="1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customary owner’s affidavit, executed by Seller in form acceptable to the Title Company and generally in the form of </w:t>
      </w:r>
      <w:r>
        <w:rPr>
          <w:rFonts w:ascii="Times New Roman" w:cs="Times New Roman" w:eastAsia="Times New Roman" w:hAnsi="Times New Roman"/>
          <w:sz w:val="20"/>
          <w:szCs w:val="20"/>
          <w:b w:val="1"/>
          <w:bCs w:val="1"/>
          <w:u w:val="single" w:color="auto"/>
          <w:color w:val="auto"/>
        </w:rPr>
        <w:t>Exhibit G</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010000"/>
        </w:rPr>
      </w:pPr>
    </w:p>
    <w:p>
      <w:pPr>
        <w:ind w:left="1500" w:hanging="369"/>
        <w:spacing w:after="0"/>
        <w:tabs>
          <w:tab w:leader="none" w:pos="1500" w:val="left"/>
        </w:tabs>
        <w:numPr>
          <w:ilvl w:val="0"/>
          <w:numId w:val="1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notice to Tenants in the form attached as </w:t>
      </w:r>
      <w:r>
        <w:rPr>
          <w:rFonts w:ascii="Times New Roman" w:cs="Times New Roman" w:eastAsia="Times New Roman" w:hAnsi="Times New Roman"/>
          <w:sz w:val="20"/>
          <w:szCs w:val="20"/>
          <w:b w:val="1"/>
          <w:bCs w:val="1"/>
          <w:u w:val="single" w:color="auto"/>
          <w:color w:val="auto"/>
        </w:rPr>
        <w:t>Exhibit H</w:t>
      </w:r>
      <w:r>
        <w:rPr>
          <w:rFonts w:ascii="Times New Roman" w:cs="Times New Roman" w:eastAsia="Times New Roman" w:hAnsi="Times New Roman"/>
          <w:sz w:val="20"/>
          <w:szCs w:val="20"/>
          <w:color w:val="auto"/>
        </w:rPr>
        <w:t>; and</w:t>
      </w:r>
    </w:p>
    <w:p>
      <w:pPr>
        <w:spacing w:after="0" w:line="215" w:lineRule="exact"/>
        <w:rPr>
          <w:rFonts w:ascii="Times New Roman" w:cs="Times New Roman" w:eastAsia="Times New Roman" w:hAnsi="Times New Roman"/>
          <w:sz w:val="20"/>
          <w:szCs w:val="20"/>
          <w:color w:val="010000"/>
        </w:rPr>
      </w:pPr>
    </w:p>
    <w:p>
      <w:pPr>
        <w:ind w:left="1500" w:hanging="369"/>
        <w:spacing w:after="0"/>
        <w:tabs>
          <w:tab w:leader="none" w:pos="1500" w:val="left"/>
        </w:tabs>
        <w:numPr>
          <w:ilvl w:val="0"/>
          <w:numId w:val="1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Seller’s Closing Certificate in the form attached hereto as </w:t>
      </w:r>
      <w:r>
        <w:rPr>
          <w:rFonts w:ascii="Times New Roman" w:cs="Times New Roman" w:eastAsia="Times New Roman" w:hAnsi="Times New Roman"/>
          <w:sz w:val="20"/>
          <w:szCs w:val="20"/>
          <w:b w:val="1"/>
          <w:bCs w:val="1"/>
          <w:u w:val="single" w:color="auto"/>
          <w:color w:val="auto"/>
        </w:rPr>
        <w:t>Exhibit I</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9"/>
          <w:szCs w:val="19"/>
          <w:color w:val="auto"/>
        </w:rPr>
        <w:t>At Closing, Buyer shall instruct the Escrow Agent to deliver the Earnest Money to Seller which shall be applied to the Purchase Price, shall deliver the balance of the Purchase Price (subject to the adjustments as specifically provided hereunder) to Seller and shall execute (as applicable) and deliver execution counterparts of the closing documents or other closing deliveries referenced or required in clauses (b), (c),</w:t>
      </w:r>
    </w:p>
    <w:p>
      <w:pPr>
        <w:ind w:right="180" w:firstLine="8"/>
        <w:spacing w:after="0" w:line="241" w:lineRule="auto"/>
        <w:tabs>
          <w:tab w:leader="none" w:pos="28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(h) above. The Closing shall be held through a customary escrow arrangement between the parties and the Escrow Agent, or such other place or manner as the parties hereto may mutually agree. The acceptance of the Deed by Buyer shall be deemed full compliance by Seller of all of Seller’s obligations under this Agreement except for those obligations of Seller which are specifically stated to survive the delivery of the Deed or the Closing hereunder. The balance of the Purchase Price shall be payable by wire transfer of immediately available funds and must be received by Seller no later than 2:00 p.m. Eastern time on the Closing Date.</w:t>
      </w:r>
    </w:p>
    <w:p>
      <w:pPr>
        <w:spacing w:after="0" w:line="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Default; Breach of Representation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15.</w:t>
      </w:r>
    </w:p>
    <w:p>
      <w:pPr>
        <w:spacing w:after="0" w:line="194" w:lineRule="exact"/>
        <w:rPr>
          <w:sz w:val="20"/>
          <w:szCs w:val="20"/>
          <w:color w:val="auto"/>
        </w:rPr>
      </w:pPr>
    </w:p>
    <w:p>
      <w:pPr>
        <w:jc w:val="both"/>
        <w:ind w:left="1500" w:hanging="369"/>
        <w:spacing w:after="0" w:line="242" w:lineRule="auto"/>
        <w:tabs>
          <w:tab w:leader="none" w:pos="1500" w:val="left"/>
        </w:tabs>
        <w:numPr>
          <w:ilvl w:val="0"/>
          <w:numId w:val="1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the event that Buyer defaults in any of its material obligations undertaken in this Agreement, and such failure continues for </w:t>
      </w:r>
      <w:r>
        <w:rPr>
          <w:rFonts w:ascii="Times New Roman" w:cs="Times New Roman" w:eastAsia="Times New Roman" w:hAnsi="Times New Roman"/>
          <w:sz w:val="20"/>
          <w:szCs w:val="20"/>
          <w:b w:val="1"/>
          <w:bCs w:val="1"/>
          <w:color w:val="auto"/>
        </w:rPr>
        <w:t>three (3) business days</w:t>
      </w:r>
      <w:r>
        <w:rPr>
          <w:rFonts w:ascii="Times New Roman" w:cs="Times New Roman" w:eastAsia="Times New Roman" w:hAnsi="Times New Roman"/>
          <w:sz w:val="20"/>
          <w:szCs w:val="20"/>
          <w:color w:val="auto"/>
        </w:rPr>
        <w:t xml:space="preserve"> after written notice to Buyer thereof, Seller shall be entitled, as its sole and exclusive remedies, to either: (i) if Seller is willing to proceed to Closing, waive such default and proceed to Closing in accordance with the terms and provisions hereof; or (ii) declare this Agreement to be terminated, and Seller shall be entitled to immediately receive all of the Earnest Money as liquidated damages as and for Seller’s sole remedy. Upon such termination, neither Buyer nor Seller shall have any further rights, obligations or liabilities hereunder, except for those provisions hereof which by their terms expressly survive the termination of this Agreement. Seller and Buyer agree that it is difficult to determine, with any degree of certainty, the loss which Seller would incur in the event of Buyer’s failure to close the purchase of the Property, and the parties have agreed that the amount of the Earnest Money represents a reasonable estimate of such loss and is intended as a liquidated damages provision; provided, however, that Seller shall also be entitled to payment and/or reimbursement by Buyer of Seller’s attorney’s fees and other costs to enforce the provision of this </w:t>
      </w: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 xml:space="preserve">. Nothing contained in this </w:t>
      </w:r>
      <w:r>
        <w:rPr>
          <w:rFonts w:ascii="Times New Roman" w:cs="Times New Roman" w:eastAsia="Times New Roman" w:hAnsi="Times New Roman"/>
          <w:sz w:val="20"/>
          <w:szCs w:val="20"/>
          <w:u w:val="single" w:color="auto"/>
          <w:color w:val="auto"/>
        </w:rPr>
        <w:t>Section 15(a)</w:t>
      </w:r>
      <w:r>
        <w:rPr>
          <w:rFonts w:ascii="Times New Roman" w:cs="Times New Roman" w:eastAsia="Times New Roman" w:hAnsi="Times New Roman"/>
          <w:sz w:val="20"/>
          <w:szCs w:val="20"/>
          <w:color w:val="auto"/>
        </w:rPr>
        <w:t xml:space="preserve"> shall limit the rights and remedies of Seller with</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2" w:name="page203"/>
    <w:bookmarkEnd w:id="202"/>
    <w:p>
      <w:pPr>
        <w:ind w:left="1460"/>
        <w:spacing w:after="0" w:line="269" w:lineRule="auto"/>
        <w:rPr>
          <w:sz w:val="20"/>
          <w:szCs w:val="20"/>
          <w:color w:val="auto"/>
        </w:rPr>
      </w:pPr>
      <w:r>
        <w:rPr>
          <w:rFonts w:ascii="Times New Roman" w:cs="Times New Roman" w:eastAsia="Times New Roman" w:hAnsi="Times New Roman"/>
          <w:sz w:val="20"/>
          <w:szCs w:val="20"/>
          <w:color w:val="auto"/>
        </w:rPr>
        <w:t>respect to any default by Buyer of any obligation or covenant that survives (or is to be performed following) Closing or survives termination of this Agreement.</w:t>
      </w:r>
    </w:p>
    <w:p>
      <w:pPr>
        <w:spacing w:after="0" w:line="159" w:lineRule="exact"/>
        <w:rPr>
          <w:sz w:val="20"/>
          <w:szCs w:val="20"/>
          <w:color w:val="auto"/>
        </w:rPr>
      </w:pPr>
    </w:p>
    <w:p>
      <w:pPr>
        <w:jc w:val="both"/>
        <w:ind w:left="1460" w:hanging="369"/>
        <w:spacing w:after="0" w:line="242" w:lineRule="auto"/>
        <w:tabs>
          <w:tab w:leader="none" w:pos="1460" w:val="left"/>
        </w:tabs>
        <w:numPr>
          <w:ilvl w:val="0"/>
          <w:numId w:val="1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the event that Seller defaults in any of its material obligations undertaken in this Agreement, and such failure continues for five (5) business days after written notice to Seller thereof, Buyer may either waive such default and proceed to Closing in accordance with the terms and provisions hereof or may elect to either (i) terminate this Agreement and recover the Earnest Money, which shall promptly be distributed to Buyer by Escrow Agent, which disbursement shall operate to terminate this Agreement and release Seller and Buyer from any and all liability hereunder, except those which are specifically stated herein to survive any termination hereof, or (ii) enforce specific performance of Seller’s obligations to deliver the Deed at Closing; provided that such specific enforcement action must be initiated no later than ninety (90) days following the earlier to occur of (aa) Buyer’s written notice to Seller of such default by Seller, or (bb) the date that Closing would have occurred but for the applicable default by Seller. Subject to the penultimate paragraph of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Buyer’s sole recourse arising out of or relating to any default by Seller under this Agreement shall be as set forth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15(b)</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010000"/>
        </w:rPr>
      </w:pPr>
    </w:p>
    <w:p>
      <w:pPr>
        <w:jc w:val="both"/>
        <w:ind w:left="1460" w:hanging="369"/>
        <w:spacing w:after="0" w:line="241" w:lineRule="auto"/>
        <w:tabs>
          <w:tab w:leader="none" w:pos="1460" w:val="left"/>
        </w:tabs>
        <w:numPr>
          <w:ilvl w:val="0"/>
          <w:numId w:val="1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All representations and warranties in this Agreement shall survive the Closing for a period of </w:t>
      </w:r>
      <w:r>
        <w:rPr>
          <w:rFonts w:ascii="Times New Roman" w:cs="Times New Roman" w:eastAsia="Times New Roman" w:hAnsi="Times New Roman"/>
          <w:sz w:val="20"/>
          <w:szCs w:val="20"/>
          <w:b w:val="1"/>
          <w:bCs w:val="1"/>
          <w:color w:val="auto"/>
        </w:rPr>
        <w:t>six (6) months</w:t>
      </w:r>
      <w:r>
        <w:rPr>
          <w:rFonts w:ascii="Times New Roman" w:cs="Times New Roman" w:eastAsia="Times New Roman" w:hAnsi="Times New Roman"/>
          <w:sz w:val="20"/>
          <w:szCs w:val="20"/>
          <w:color w:val="auto"/>
        </w:rPr>
        <w:t xml:space="preserve"> after the Closing (the “</w:t>
      </w:r>
      <w:r>
        <w:rPr>
          <w:rFonts w:ascii="Times New Roman" w:cs="Times New Roman" w:eastAsia="Times New Roman" w:hAnsi="Times New Roman"/>
          <w:sz w:val="20"/>
          <w:szCs w:val="20"/>
          <w:b w:val="1"/>
          <w:bCs w:val="1"/>
          <w:u w:val="single" w:color="auto"/>
          <w:color w:val="auto"/>
        </w:rPr>
        <w:t>Survival Period</w:t>
      </w:r>
      <w:r>
        <w:rPr>
          <w:rFonts w:ascii="Times New Roman" w:cs="Times New Roman" w:eastAsia="Times New Roman" w:hAnsi="Times New Roman"/>
          <w:sz w:val="20"/>
          <w:szCs w:val="20"/>
          <w:color w:val="auto"/>
        </w:rPr>
        <w:t xml:space="preserve">”). Any right of action for the breach of any representation or warranty contained herein shall not merge with the Deed delivered at the Closing but shall survive the Closing for the Survival Period and before the expiration thereof the party claiming a breach must have filed an action in a court of competent jurisdiction, and any warranty and representation not specified in such action shall expire. Seller and Buyer agree that, subject to the terms of this </w:t>
      </w: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 xml:space="preserve">, each shall be liable for the direct, but not consequential or punitive, damages resulting from any breach of its representations or warranties expressly set forth in this Agreement. Notwithstanding anything in this Agreement to the contrary, </w:t>
      </w: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20"/>
          <w:szCs w:val="20"/>
          <w:color w:val="auto"/>
        </w:rPr>
        <w:t xml:space="preserve"> following Closing, the total liability of Seller </w:t>
      </w:r>
      <w:r>
        <w:rPr>
          <w:rFonts w:ascii="Times New Roman" w:cs="Times New Roman" w:eastAsia="Times New Roman" w:hAnsi="Times New Roman"/>
          <w:sz w:val="20"/>
          <w:szCs w:val="20"/>
          <w:b w:val="1"/>
          <w:bCs w:val="1"/>
          <w:color w:val="auto"/>
        </w:rPr>
        <w:t>(aa)</w:t>
      </w:r>
      <w:r>
        <w:rPr>
          <w:rFonts w:ascii="Times New Roman" w:cs="Times New Roman" w:eastAsia="Times New Roman" w:hAnsi="Times New Roman"/>
          <w:sz w:val="20"/>
          <w:szCs w:val="20"/>
          <w:color w:val="auto"/>
        </w:rPr>
        <w:t xml:space="preserve"> under this Agreement (including for all breaches of the representations, warranties and covenants under this Agreement) and any matters relating thereto, and/or (</w:t>
      </w:r>
      <w:r>
        <w:rPr>
          <w:rFonts w:ascii="Times New Roman" w:cs="Times New Roman" w:eastAsia="Times New Roman" w:hAnsi="Times New Roman"/>
          <w:sz w:val="20"/>
          <w:szCs w:val="20"/>
          <w:b w:val="1"/>
          <w:bCs w:val="1"/>
          <w:color w:val="auto"/>
        </w:rPr>
        <w:t>bb)</w:t>
      </w:r>
      <w:r>
        <w:rPr>
          <w:rFonts w:ascii="Times New Roman" w:cs="Times New Roman" w:eastAsia="Times New Roman" w:hAnsi="Times New Roman"/>
          <w:sz w:val="20"/>
          <w:szCs w:val="20"/>
          <w:color w:val="auto"/>
        </w:rPr>
        <w:t xml:space="preserve"> under any law applicable to the Property, and/or </w:t>
      </w:r>
      <w:r>
        <w:rPr>
          <w:rFonts w:ascii="Times New Roman" w:cs="Times New Roman" w:eastAsia="Times New Roman" w:hAnsi="Times New Roman"/>
          <w:sz w:val="20"/>
          <w:szCs w:val="20"/>
          <w:b w:val="1"/>
          <w:bCs w:val="1"/>
          <w:color w:val="auto"/>
        </w:rPr>
        <w:t>(cc)</w:t>
      </w:r>
      <w:r>
        <w:rPr>
          <w:rFonts w:ascii="Times New Roman" w:cs="Times New Roman" w:eastAsia="Times New Roman" w:hAnsi="Times New Roman"/>
          <w:sz w:val="20"/>
          <w:szCs w:val="20"/>
          <w:color w:val="auto"/>
        </w:rPr>
        <w:t xml:space="preserve"> with respect to this transaction or otherwise in relation to the matters contemplated by this Agreement shall not, in the aggregate, exceed </w:t>
      </w:r>
      <w:r>
        <w:rPr>
          <w:rFonts w:ascii="Times New Roman" w:cs="Times New Roman" w:eastAsia="Times New Roman" w:hAnsi="Times New Roman"/>
          <w:sz w:val="20"/>
          <w:szCs w:val="20"/>
          <w:b w:val="1"/>
          <w:bCs w:val="1"/>
          <w:color w:val="auto"/>
        </w:rPr>
        <w:t>two percent (2.0%)</w:t>
      </w:r>
      <w:r>
        <w:rPr>
          <w:rFonts w:ascii="Times New Roman" w:cs="Times New Roman" w:eastAsia="Times New Roman" w:hAnsi="Times New Roman"/>
          <w:sz w:val="20"/>
          <w:szCs w:val="20"/>
          <w:color w:val="auto"/>
        </w:rPr>
        <w:t xml:space="preserve"> of the Purchase Price (the “</w:t>
      </w:r>
      <w:r>
        <w:rPr>
          <w:rFonts w:ascii="Times New Roman" w:cs="Times New Roman" w:eastAsia="Times New Roman" w:hAnsi="Times New Roman"/>
          <w:sz w:val="20"/>
          <w:szCs w:val="20"/>
          <w:b w:val="1"/>
          <w:bCs w:val="1"/>
          <w:u w:val="single" w:color="auto"/>
          <w:color w:val="auto"/>
        </w:rPr>
        <w:t>Claim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Cap</w:t>
      </w:r>
      <w:r>
        <w:rPr>
          <w:rFonts w:ascii="Times New Roman" w:cs="Times New Roman" w:eastAsia="Times New Roman" w:hAnsi="Times New Roman"/>
          <w:sz w:val="20"/>
          <w:szCs w:val="20"/>
          <w:color w:val="auto"/>
        </w:rPr>
        <w:t>”), and (ii) all representations and warranties made by Seller or its Affiliates in relation to the matters contemplated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by this Agreement are personal to Buyer and may not be assigned to or enforced by any other Person, other than to an assignee of Buyer in accordance with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hereof. Buyer further agrees that, following the Closing, no claim may or shall be made for any alleged breach of any representations or warranties made by Seller under or relating to this Agreement unless the amount of such claim or claims, individually or in the aggregate, exceeds SEVENTY-FIVE THOUSAND AND NO/100 Dollars </w:t>
      </w:r>
      <w:r>
        <w:rPr>
          <w:rFonts w:ascii="Times New Roman" w:cs="Times New Roman" w:eastAsia="Times New Roman" w:hAnsi="Times New Roman"/>
          <w:sz w:val="20"/>
          <w:szCs w:val="20"/>
          <w:b w:val="1"/>
          <w:bCs w:val="1"/>
          <w:color w:val="auto"/>
        </w:rPr>
        <w:t>($75,000.00)</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u w:val="single" w:color="auto"/>
          <w:color w:val="auto"/>
        </w:rPr>
        <w:t>Threshold Amount</w:t>
      </w:r>
      <w:r>
        <w:rPr>
          <w:rFonts w:ascii="Times New Roman" w:cs="Times New Roman" w:eastAsia="Times New Roman" w:hAnsi="Times New Roman"/>
          <w:sz w:val="20"/>
          <w:szCs w:val="20"/>
          <w:color w:val="auto"/>
        </w:rPr>
        <w:t xml:space="preserve">”) (in which event the amount of such valid claims against Seller in excess of the Threshold Amount shall be actionable up to, but not in excess of, the Claim Cap). The provisions of this </w:t>
      </w:r>
      <w:r>
        <w:rPr>
          <w:rFonts w:ascii="Times New Roman" w:cs="Times New Roman" w:eastAsia="Times New Roman" w:hAnsi="Times New Roman"/>
          <w:sz w:val="20"/>
          <w:szCs w:val="20"/>
          <w:u w:val="single" w:color="auto"/>
          <w:color w:val="auto"/>
        </w:rPr>
        <w:t>Section 15(c)</w:t>
      </w:r>
      <w:r>
        <w:rPr>
          <w:rFonts w:ascii="Times New Roman" w:cs="Times New Roman" w:eastAsia="Times New Roman" w:hAnsi="Times New Roman"/>
          <w:sz w:val="20"/>
          <w:szCs w:val="20"/>
          <w:color w:val="auto"/>
        </w:rPr>
        <w:t xml:space="preserve"> shall survive the Closing or termination of this Agreement.</w:t>
      </w:r>
    </w:p>
    <w:p>
      <w:pPr>
        <w:spacing w:after="0" w:line="192" w:lineRule="exact"/>
        <w:rPr>
          <w:rFonts w:ascii="Times New Roman" w:cs="Times New Roman" w:eastAsia="Times New Roman" w:hAnsi="Times New Roman"/>
          <w:sz w:val="20"/>
          <w:szCs w:val="20"/>
          <w:color w:val="010000"/>
        </w:rPr>
      </w:pPr>
    </w:p>
    <w:p>
      <w:pPr>
        <w:jc w:val="both"/>
        <w:ind w:left="1460" w:hanging="369"/>
        <w:spacing w:after="0" w:line="246" w:lineRule="auto"/>
        <w:tabs>
          <w:tab w:leader="none" w:pos="1460" w:val="left"/>
        </w:tabs>
        <w:numPr>
          <w:ilvl w:val="0"/>
          <w:numId w:val="1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event that Buyer becomes aware of any claim or demand under this Section 15 for which Seller may have liability to Buyer hereunder (a “</w:t>
      </w:r>
      <w:r>
        <w:rPr>
          <w:rFonts w:ascii="Times New Roman" w:cs="Times New Roman" w:eastAsia="Times New Roman" w:hAnsi="Times New Roman"/>
          <w:sz w:val="20"/>
          <w:szCs w:val="20"/>
          <w:b w:val="1"/>
          <w:bCs w:val="1"/>
          <w:color w:val="auto"/>
        </w:rPr>
        <w:t>Representation Claim</w:t>
      </w:r>
      <w:r>
        <w:rPr>
          <w:rFonts w:ascii="Times New Roman" w:cs="Times New Roman" w:eastAsia="Times New Roman" w:hAnsi="Times New Roman"/>
          <w:sz w:val="20"/>
          <w:szCs w:val="20"/>
          <w:color w:val="auto"/>
        </w:rPr>
        <w:t>”), Buyer shall promptly, but in no event more than thirty (30) days following Buyer having become aware of such Representation Claim (subject in all cases to the provisions of Section 8), notify the Seller in writing of such Representation Claim, the amount or the estimated amount of damages sought thereunder to the extent then ascertainable (which estimate shall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3" w:right="339" w:bottom="1440" w:gutter="0" w:footer="0" w:header="0"/>
        </w:sectPr>
      </w:pPr>
    </w:p>
    <w:bookmarkStart w:id="203" w:name="page204"/>
    <w:bookmarkEnd w:id="203"/>
    <w:p>
      <w:pPr>
        <w:jc w:val="both"/>
        <w:ind w:left="1500"/>
        <w:spacing w:after="0" w:line="246" w:lineRule="auto"/>
        <w:rPr>
          <w:sz w:val="20"/>
          <w:szCs w:val="20"/>
          <w:color w:val="auto"/>
        </w:rPr>
      </w:pPr>
      <w:r>
        <w:rPr>
          <w:rFonts w:ascii="Times New Roman" w:cs="Times New Roman" w:eastAsia="Times New Roman" w:hAnsi="Times New Roman"/>
          <w:sz w:val="20"/>
          <w:szCs w:val="20"/>
          <w:color w:val="auto"/>
        </w:rPr>
        <w:t xml:space="preserve">not be conclusive of the final amount of such Representation Claim), any other remedy sought thereunder, any relevant time constraints relating thereto and, to the extent practicable, any other material details pertaining thereto. Notwithstanding the foregoing, in no event shall Buyer or any of its Affiliates be entitled to seek or obtain consequential, speculative, special, punitive or exemplary damages against Seller. The provisions of this </w:t>
      </w:r>
      <w:r>
        <w:rPr>
          <w:rFonts w:ascii="Times New Roman" w:cs="Times New Roman" w:eastAsia="Times New Roman" w:hAnsi="Times New Roman"/>
          <w:sz w:val="20"/>
          <w:szCs w:val="20"/>
          <w:u w:val="single" w:color="auto"/>
          <w:color w:val="auto"/>
        </w:rPr>
        <w:t>Section 15(d)</w:t>
      </w:r>
      <w:r>
        <w:rPr>
          <w:rFonts w:ascii="Times New Roman" w:cs="Times New Roman" w:eastAsia="Times New Roman" w:hAnsi="Times New Roman"/>
          <w:sz w:val="20"/>
          <w:szCs w:val="20"/>
          <w:color w:val="auto"/>
        </w:rPr>
        <w:t xml:space="preserve"> shall survive the Closing or termination of this Agreement.</w:t>
      </w:r>
    </w:p>
    <w:p>
      <w:pPr>
        <w:spacing w:after="0" w:line="1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Risk of Loss/Condemnation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16.</w:t>
      </w:r>
    </w:p>
    <w:p>
      <w:pPr>
        <w:spacing w:after="0" w:line="194" w:lineRule="exact"/>
        <w:rPr>
          <w:sz w:val="20"/>
          <w:szCs w:val="20"/>
          <w:color w:val="auto"/>
        </w:rPr>
      </w:pPr>
    </w:p>
    <w:p>
      <w:pPr>
        <w:jc w:val="both"/>
        <w:ind w:firstLine="8"/>
        <w:spacing w:after="0" w:line="241" w:lineRule="auto"/>
        <w:tabs>
          <w:tab w:leader="none" w:pos="162"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Until Closing, the risk of loss or damage to the Property, except as otherwise provided herein, shall be borne by Seller. In the event all or any portion of the Property is damaged in any casualty or condemned or taken (or notice of any condemnation or taking is issued) so that, (a) with respect to any casualty, the cost to repair such casualty would exceed ten percent (10%) of the Purchase Price, and (b) with respect to any condemnation or taking (or notice thereof), more than ten percent (10%) of the Property is (or will be) condemned or taken, then, Buyer may elect to terminate this Agreement by providing written notice of such termination to Seller within five (5) Business Days after Buyer’s receipt of notice of such condemnation, taking or damage, upon which termination the Earnest Money shall be returned to Buyer and neither party hereto shall have any further rights, obligations or liabilities under this Agreement, except as otherwise specifically set forth herein. With respect to any condemnation or taking (or any notice thereof), if Buyer does not elect to cancel this Agreement or does not have the right to terminate this Agreement as aforesaid, there shall be no abatement of the Purchase Price and Seller shall, subject to the terms of the Leases, assign to Buyer at the Closing the rights of Seller to the awards, if any, for such condemnation or taking, and Buyer shall, subject to the terms of the Leases, be entitled to receive and keep all such awards , provided that Seller shall be entitled to receive and keep from all such awards an amount equal to its reasonable out-of-pocket costs and expenses incurred in connection with such condemnation or taking. With respect to a casualty, if Buyer does not elect to terminate this Agreement or does not have the right to terminate this Agreement as aforesaid, there shall be no abatement of the Purchase Price and Seller, subject to the terms of the Leases, shall assign to Buyer at the Closing the rights of Seller to the proceeds under Seller’s insurance policies covering the Property with respect to such damage or destruction (or pay to Buyer any such proceeds received prior to Closing) (excluding any proceeds payable to Seller under Seller’s business interruption insurance policies, if any) and pay to Buyer the amount of any deductible with respect thereto, less any amounts incurred by Seller in respect of the casualty and applied to such proceeds or to the deductible in accordance with the policy, and Buyer shall, subject to the terms of the Leases, be entitled to receive and keep any monies received from such insurance policies.</w:t>
      </w:r>
    </w:p>
    <w:p>
      <w:pPr>
        <w:spacing w:after="0" w:line="18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Entire Agreement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17.</w:t>
      </w:r>
    </w:p>
    <w:p>
      <w:pPr>
        <w:spacing w:after="0" w:line="194" w:lineRule="exact"/>
        <w:rPr>
          <w:sz w:val="20"/>
          <w:szCs w:val="20"/>
          <w:color w:val="auto"/>
        </w:rPr>
      </w:pPr>
    </w:p>
    <w:p>
      <w:pPr>
        <w:jc w:val="both"/>
        <w:ind w:firstLine="8"/>
        <w:spacing w:after="0" w:line="245" w:lineRule="auto"/>
        <w:tabs>
          <w:tab w:leader="none" w:pos="181"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This Agreement constitutes the sole and entire agreement among the parties hereto and no modification, amendment, alteration, change, supplement or rescission of this Agreement shall be binding unless in writing and signed by all parties hereto; provided, however, that the signature of the Escrow Agent shall not be required as to any amendment of this Agreement other than an amendment of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hereof. No prior agreement or understanding pertaining to the subject matter hereof (including, without limitation, any letter of intent executed prior to this Agreement), excluding the Confidentiality Agreement and the Access Agreement, shall be valid or of any force or effect from and after the date hereof.</w:t>
      </w:r>
    </w:p>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No Representations or Warranties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18.</w:t>
      </w:r>
    </w:p>
    <w:p>
      <w:pPr>
        <w:spacing w:after="0" w:line="194" w:lineRule="exact"/>
        <w:rPr>
          <w:sz w:val="20"/>
          <w:szCs w:val="20"/>
          <w:color w:val="auto"/>
        </w:rPr>
      </w:pPr>
    </w:p>
    <w:p>
      <w:pPr>
        <w:jc w:val="both"/>
        <w:ind w:firstLine="8"/>
        <w:spacing w:after="0" w:line="254" w:lineRule="auto"/>
        <w:tabs>
          <w:tab w:leader="none" w:pos="211"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Except as expressly set forth in this Agreement, the Property is being sold in an “AS IS, WHERE IS” condition and “WITH ALL FAULTS” as of the Effective Date and as of Closing. Except as expressly set forth in this Agreement, no representations or warranties have been made or are made and no responsibility has been or is assumed by any Seller or by any partner, officer, person, firm, agent, attorney or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4" w:name="page205"/>
    <w:bookmarkEnd w:id="204"/>
    <w:p>
      <w:pPr>
        <w:jc w:val="both"/>
        <w:spacing w:after="0" w:line="247" w:lineRule="auto"/>
        <w:rPr>
          <w:sz w:val="20"/>
          <w:szCs w:val="20"/>
          <w:color w:val="auto"/>
        </w:rPr>
      </w:pPr>
      <w:r>
        <w:rPr>
          <w:rFonts w:ascii="Times New Roman" w:cs="Times New Roman" w:eastAsia="Times New Roman" w:hAnsi="Times New Roman"/>
          <w:sz w:val="20"/>
          <w:szCs w:val="20"/>
          <w:color w:val="auto"/>
        </w:rPr>
        <w:t>representative acting or purporting to act on behalf of such Seller as to (i) the environmental or physical condition or state of repair of the Property; (ii) the compliance or non-compliance of the Property with any applicable laws, regulations or ordinances (including, without limitation, any applicable zoning, building or development codes); (iii) the value, expense of operation, or income potential of the Property;</w:t>
      </w:r>
    </w:p>
    <w:p>
      <w:pPr>
        <w:jc w:val="both"/>
        <w:ind w:firstLine="8"/>
        <w:spacing w:after="0"/>
        <w:tabs>
          <w:tab w:leader="none" w:pos="36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fact or condition which has or might affect the Property or the condition, state of repair, compliance, value, expense of operation or income potential of the Property or any portion thereof; or (v) whether the Property contains asbestos, harmful, hazardous or toxic substances or pertaining to the extent, location or nature of same. The parties agree that all understandings and agreements heretofore made between them or their respective agents or representatives are merged in this Agreement, which alone fully and completely express their agreement, and that this Agreement has been entered into after full investigation, or with the parties satisfied with the opportunity afforded for full investigation, neither party relying upon any statement or representation by the other unless such statement or representation is specifically embodied in this Agreement.</w:t>
      </w:r>
    </w:p>
    <w:p>
      <w:pPr>
        <w:spacing w:after="0" w:line="19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 xml:space="preserve">Except with respect to matters relating to breaches of Seller’s representations and warranties contained in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(subject to the limitations contained herein), Buyer waives its right to recover from, and forever releases and discharges Seller and Seller’s Affiliates, parent and subsidiary entities, successors, assigns, partners, managers, members, employees, officers, directors, trustees, shareholders, counsel, representatives, agents (collectively, including Seller, the “</w:t>
      </w:r>
      <w:r>
        <w:rPr>
          <w:rFonts w:ascii="Times New Roman" w:cs="Times New Roman" w:eastAsia="Times New Roman" w:hAnsi="Times New Roman"/>
          <w:sz w:val="20"/>
          <w:szCs w:val="20"/>
          <w:b w:val="1"/>
          <w:bCs w:val="1"/>
          <w:u w:val="single" w:color="auto"/>
          <w:color w:val="auto"/>
        </w:rPr>
        <w:t>Seller Releasees</w:t>
      </w:r>
      <w:r>
        <w:rPr>
          <w:rFonts w:ascii="Times New Roman" w:cs="Times New Roman" w:eastAsia="Times New Roman" w:hAnsi="Times New Roman"/>
          <w:sz w:val="20"/>
          <w:szCs w:val="20"/>
          <w:color w:val="auto"/>
        </w:rPr>
        <w:t>”) from any and all demands, claims (including, without limitation, causes of action in tort), legal or administrative proceedings, losses, liabilities, damages, penalties, fines, liens, judgments, costs or expenses whatsoever (including, without limitation, attorneys’ fees and costs), whether direct or indirect, known or unknown, foreseen or unforeseen (collectively, “</w:t>
      </w:r>
      <w:r>
        <w:rPr>
          <w:rFonts w:ascii="Times New Roman" w:cs="Times New Roman" w:eastAsia="Times New Roman" w:hAnsi="Times New Roman"/>
          <w:sz w:val="20"/>
          <w:szCs w:val="20"/>
          <w:b w:val="1"/>
          <w:bCs w:val="1"/>
          <w:u w:val="single" w:color="auto"/>
          <w:color w:val="auto"/>
        </w:rPr>
        <w:t>Claims</w:t>
      </w:r>
      <w:r>
        <w:rPr>
          <w:rFonts w:ascii="Times New Roman" w:cs="Times New Roman" w:eastAsia="Times New Roman" w:hAnsi="Times New Roman"/>
          <w:sz w:val="20"/>
          <w:szCs w:val="20"/>
          <w:color w:val="auto"/>
        </w:rPr>
        <w:t>”), that may arise on account of or in any way be connected with the Property, the environmental or physical condition thereof, or any law or regulation applicable thereto (including, without limitation, claims under the Comprehensive Environmental Response, Compensation and Liability Act of 1980, as amended (42 U.S.C. Section 6901, et seq</w:t>
      </w:r>
    </w:p>
    <w:p>
      <w:pPr>
        <w:spacing w:after="0" w:line="7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 the Resources Conservation and Recovery Act of 1976 (42 U.S.C. Section 6901, et seq.), the Clean Water Act (33 U.S.C. Section 1251, et seq.), the Safe Drinking Water Act (49 U.S.C. Section 1801, et seq.), the Hazardous Transportation Act (42 U.S.C. Section 6901, et seq.), and the Toxic Substance Control Act (15 U.S.C. Section 2601, et seq., or their state counterparts). Without limiting the foregoing, Buyer, upon Closing, shall be deemed to have waived, relinquished and released the Seller Releasees from any and all Claims, matters arising out of latent or patent defects or physical conditions, environmental conditions, violations of applicable laws (including, without limitation, any environmental laws) and any and all other acts, omissions, events, circumstances or matters affecting the Property. As part of the provisions of this </w:t>
      </w: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 but not as a limitation thereon, Buyer hereby agrees, represents and warrants that the matters released herein are not limited to matters which are known or disclosed, and Buyer hereby waives any and all rights and benefits which it now has, or in the future may have conferred upon it, by virtue of the provisions of federal, state or local law, rules and regulations. Without limiting the foregoing, Buyer agrees that should any investigation, cleanup, remediation or removal of hazardous substances or other environmental conditions on or about the Property be required after the Closing Date, such investigation, clean-up, removal or remediation shall not be the responsibility of Seller and Buyer hereby waives any and all rights against Seller in respect thereof.</w:t>
      </w:r>
    </w:p>
    <w:p>
      <w:pPr>
        <w:spacing w:after="0" w:line="18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Notices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19.</w:t>
      </w:r>
    </w:p>
    <w:p>
      <w:pPr>
        <w:spacing w:after="0" w:line="194" w:lineRule="exact"/>
        <w:rPr>
          <w:sz w:val="20"/>
          <w:szCs w:val="20"/>
          <w:color w:val="auto"/>
        </w:rPr>
      </w:pPr>
    </w:p>
    <w:p>
      <w:pPr>
        <w:jc w:val="both"/>
        <w:ind w:firstLine="8"/>
        <w:spacing w:after="0" w:line="249" w:lineRule="auto"/>
        <w:tabs>
          <w:tab w:leader="none" w:pos="159" w:val="left"/>
        </w:tabs>
        <w:numPr>
          <w:ilvl w:val="0"/>
          <w:numId w:val="1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Unless otherwise provided herein, all notices and other communications which may be or are required to be given or made by any party to the other in connection herewith shall be in writing and shall be: (i) delivered in person (with a copy sent the same day via electronic mail) to the addresses set out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(ii) deposited in the United States mail, registered or certified, return receipt requested (with a copy sent the same day via electronic mail) to the addresses set out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(iii) delivery via electronic mail to</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5" w:name="page206"/>
    <w:bookmarkEnd w:id="205"/>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the addresses set out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or (iv) deposited with a nationally recognized overnight courier (with a copy sent the same day via electronic mail) to the addresses set out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All notices shall be deemed to have been given upon receipt provided that such receipt occurs on or before 6:00 p.m. local time on a Business Day, otherwise, such notice shall be deemed to have been given on the next succeeding Business Day. Any address or name specified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may be changed by notice given to the addressee by the other party in accordance with this </w:t>
      </w:r>
      <w:r>
        <w:rPr>
          <w:rFonts w:ascii="Times New Roman" w:cs="Times New Roman" w:eastAsia="Times New Roman" w:hAnsi="Times New Roman"/>
          <w:sz w:val="20"/>
          <w:szCs w:val="20"/>
          <w:u w:val="single" w:color="auto"/>
          <w:color w:val="auto"/>
        </w:rPr>
        <w:t>Section 19</w:t>
      </w:r>
      <w:r>
        <w:rPr>
          <w:rFonts w:ascii="Times New Roman" w:cs="Times New Roman" w:eastAsia="Times New Roman" w:hAnsi="Times New Roman"/>
          <w:sz w:val="20"/>
          <w:szCs w:val="20"/>
          <w:color w:val="auto"/>
        </w:rPr>
        <w:t>. The inability to deliver notice because of a changed address of which no notice was given as provided, above, or because of rejection or refusal to accept any notice, shall be deemed to be the receipt of the notice as of the date of inability to deliver or rejection or refusal to accept. Any notice to be given by any party may be given by the counsel for such party.</w:t>
      </w:r>
    </w:p>
    <w:p>
      <w:pPr>
        <w:spacing w:after="0" w:line="18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Applicable Law</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20.</w:t>
      </w:r>
    </w:p>
    <w:p>
      <w:pPr>
        <w:spacing w:after="0" w:line="194" w:lineRule="exact"/>
        <w:rPr>
          <w:sz w:val="20"/>
          <w:szCs w:val="20"/>
          <w:color w:val="auto"/>
        </w:rPr>
      </w:pPr>
    </w:p>
    <w:p>
      <w:pPr>
        <w:ind w:left="160" w:hanging="152"/>
        <w:spacing w:after="0"/>
        <w:tabs>
          <w:tab w:leader="none" w:pos="160"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Agreement shall be construed under the laws of the State in which the Property is located.</w:t>
      </w:r>
    </w:p>
    <w:p>
      <w:pPr>
        <w:spacing w:after="0" w:line="2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Broker’s Commissions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21.</w:t>
      </w:r>
    </w:p>
    <w:p>
      <w:pPr>
        <w:spacing w:after="0" w:line="194" w:lineRule="exact"/>
        <w:rPr>
          <w:sz w:val="20"/>
          <w:szCs w:val="20"/>
          <w:color w:val="auto"/>
        </w:rPr>
      </w:pPr>
    </w:p>
    <w:p>
      <w:pPr>
        <w:jc w:val="both"/>
        <w:ind w:firstLine="8"/>
        <w:spacing w:after="0" w:line="242" w:lineRule="auto"/>
        <w:tabs>
          <w:tab w:leader="none" w:pos="102"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and Seller each hereby represent that, except for Seller’s Broker and Buyer’s Broker, there are no other brokers involved or that have a right to proceeds in this transaction. Seller shall be responsible for payment of commissions to Seller’s Broker in the amount due and payable to Seller’s Broker to be paid at the Closing pursuant to an agreement between Seller’s Broker and Seller. Seller shall be responsible for payment of commissions to Buyer’s Broker in the amount due and payable to Buyer’s Broker to be paid at the Closing pursuant to an agreement between Buyer’s Broker and Seller. Seller and Buyer each hereby agree to indemnify and hold the other harmless from all loss, cost, damage or expense (including reasonable attorneys’ fees at both trial and appellate levels) incurred by the other as a result of any claim for a commission, finder’s fee or similar compensation made by any broker, finder or any other party arising out of the acts of the indemnifying party (or others on its behalf) (except that Buyer shall have no obligations hereunder with respect to any claim by Seller’s Broker). The representations, warranties and indemnity obligations contained in this Section shall survive the Closing or the earlier termination of this Agreement.</w:t>
      </w:r>
    </w:p>
    <w:p>
      <w:pPr>
        <w:spacing w:after="0" w:line="18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Assignment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22.</w:t>
      </w:r>
    </w:p>
    <w:p>
      <w:pPr>
        <w:spacing w:after="0" w:line="194" w:lineRule="exact"/>
        <w:rPr>
          <w:sz w:val="20"/>
          <w:szCs w:val="20"/>
          <w:color w:val="auto"/>
        </w:rPr>
      </w:pPr>
    </w:p>
    <w:p>
      <w:pPr>
        <w:jc w:val="both"/>
        <w:ind w:firstLine="8"/>
        <w:spacing w:after="0" w:line="242" w:lineRule="auto"/>
        <w:tabs>
          <w:tab w:leader="none" w:pos="161"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Buyer shall not assign its rights under this Agreement without Seller’s prior written consent; provided, however, that Buyer may assign its rights and obligations under this Agreement without the consent of Seller, provided and on the condition that: (i) Buyer shall have given Seller written notice of the assignment and the identity of the assignee at least three (3) Business Days prior to Closing (including the name, vesting and signature block of the assignee and the name of any individual owning directly or indirectly twenty-five percent (25%) or more of assignee); (ii) assignee shall be an “affiliate” of Buyer as defined in the federal securities laws and (iii) such assignee shall have assumed Buyer’s obligations hereunder by a written instrument of assumption in form and substance reasonably satisfactory to Seller such that assignee shall (a) have assumed all of Buyer’s obligations and liabilities under this Agreement, and (b) be deemed to have been made, for the benefit of Seller hereunder, all representations and warranties of Buyer set forth in this Agreement, as of the date of such assignment, which representations and warranties shall remain true on the Closing Date in accordance with Section 11. No assignment of this Agreement by Buyer shall relieve Buyer of any of its obligations hereunder.</w:t>
      </w:r>
    </w:p>
    <w:p>
      <w:pPr>
        <w:spacing w:after="0" w:line="18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Attorneys’ Fees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23.</w:t>
      </w:r>
    </w:p>
    <w:p>
      <w:pPr>
        <w:spacing w:after="0" w:line="194" w:lineRule="exact"/>
        <w:rPr>
          <w:sz w:val="20"/>
          <w:szCs w:val="20"/>
          <w:color w:val="auto"/>
        </w:rPr>
      </w:pPr>
    </w:p>
    <w:p>
      <w:pPr>
        <w:jc w:val="both"/>
        <w:ind w:firstLine="8"/>
        <w:spacing w:after="0" w:line="249" w:lineRule="auto"/>
        <w:tabs>
          <w:tab w:leader="none" w:pos="180"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any action between Buyer and Seller as a result of failure to perform or a default under this Agreement, the prevailing party shall be entitled to recover from the other party, and the other party shall pay to the prevailing party, the prevailing party’s attorneys’ fees and disbursements and court costs incurred in such action. The provisions of this Section 23 shall survive the Closing and any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6" w:name="page207"/>
    <w:bookmarkEnd w:id="206"/>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Jury Waiver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24.</w:t>
      </w:r>
    </w:p>
    <w:p>
      <w:pPr>
        <w:spacing w:after="0" w:line="194" w:lineRule="exact"/>
        <w:rPr>
          <w:sz w:val="20"/>
          <w:szCs w:val="20"/>
          <w:color w:val="auto"/>
        </w:rPr>
      </w:pPr>
    </w:p>
    <w:p>
      <w:pPr>
        <w:jc w:val="both"/>
        <w:ind w:firstLine="8"/>
        <w:spacing w:after="0" w:line="242" w:lineRule="auto"/>
        <w:tabs>
          <w:tab w:leader="none" w:pos="222"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AND SELLER DO HEREBY KNOWINGLY, VOLUNTARILY AND INTENTIONALLY WAIVE THEIR RIGHT TO A TRIAL BY JURY IN RESPECT OF ANY LITIGATION BASED HEREON, OR ARISING OUT OF, OR UNDER OR IN CONNECTION WITH THIS AGREEMENT, THE DOCUMENTS DELIVERED BY BUYER AT CLOSING OR SELLER AT CLOSING, OR ANY COURSE OF CONDUCT, COURSE OF DEALINGS, STATEMENTS (WHETHER ORAL OR WRITTEN) OR ANY ACTIONS OF ANY PARTY ARISING OUT OF OR RELATED IN ANY MANNER WITH THIS AGREEMENT OR THE PROPERTY (INCLUDING WITHOUT LIMITATION, ANY ACTION TO RESCIND OR CANCEL THIS AGREEMENT AND ANY CLAIMS OR DEFENSES ASSERTING THAT THIS AGREEMENT WAS FRAUDULENTLY INDUCED OR IS OTHERWISE VOID OR VOIDABLE). THIS WAIVER IS A MATERIAL INDUCEMENT FOR SELLER TO ENTER INTO AND ACCEPT THIS AGREEMENT AND THE DOCUMENTS DELIVERED BY BUYER AT CLOSING AND SHALL SURVIVE THE CLOSING OR TERMINATION OF THIS AGREEMENT.</w:t>
      </w:r>
    </w:p>
    <w:p>
      <w:pPr>
        <w:spacing w:after="0" w:line="18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Tax Deferred Exchange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25.</w:t>
      </w:r>
    </w:p>
    <w:p>
      <w:pPr>
        <w:spacing w:after="0" w:line="19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Buyer and Seller agree to cooperate with each other in effecting for the benefit of either party a tax deferred exchange pursuant to Section 1031 of the Code and similar provisions of applicable state law; provided that: (i) neither party shall be obligated to delay the Closing; and</w:t>
      </w:r>
    </w:p>
    <w:p>
      <w:pPr>
        <w:spacing w:after="0" w:line="2" w:lineRule="exact"/>
        <w:rPr>
          <w:sz w:val="20"/>
          <w:szCs w:val="20"/>
          <w:color w:val="auto"/>
        </w:rPr>
      </w:pPr>
    </w:p>
    <w:p>
      <w:pPr>
        <w:jc w:val="both"/>
        <w:ind w:firstLine="8"/>
        <w:spacing w:after="0"/>
        <w:tabs>
          <w:tab w:leader="none" w:pos="362"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party shall be obligated to execute any note, contract, deed or other document, except a reasonable and customary acknowledgment of the other party’s assignment of its rights under this Agreement to a qualified intermediary, nor shall either party be obligated to take title to any property other than the Property as otherwise contemplated in this Agreement or incur additional expense for the benefit of the other party. Each party shall indemnify and hold the other harmless against any liability arising or is claimed to have arisen on account of any exchange proceeding which is initiated on behalf of the indemnifying party. The terms of this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shall survive the Closing and the transfer of title.</w:t>
      </w:r>
    </w:p>
    <w:p>
      <w:pPr>
        <w:spacing w:after="0" w:line="18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Confidentiality/No Public Disclosure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26.</w:t>
      </w:r>
    </w:p>
    <w:p>
      <w:pPr>
        <w:spacing w:after="0" w:line="190" w:lineRule="exact"/>
        <w:rPr>
          <w:sz w:val="20"/>
          <w:szCs w:val="20"/>
          <w:color w:val="auto"/>
        </w:rPr>
      </w:pPr>
    </w:p>
    <w:p>
      <w:pPr>
        <w:ind w:left="1500" w:hanging="369"/>
        <w:spacing w:after="0" w:line="273" w:lineRule="auto"/>
        <w:tabs>
          <w:tab w:leader="none" w:pos="1500" w:val="left"/>
        </w:tabs>
        <w:numPr>
          <w:ilvl w:val="0"/>
          <w:numId w:val="1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Buyer delivered to Seller that certain Confidentiality Agreement dated as of September 13, 2024 (the “</w:t>
      </w:r>
      <w:r>
        <w:rPr>
          <w:rFonts w:ascii="Times New Roman" w:cs="Times New Roman" w:eastAsia="Times New Roman" w:hAnsi="Times New Roman"/>
          <w:sz w:val="20"/>
          <w:szCs w:val="20"/>
          <w:b w:val="1"/>
          <w:bCs w:val="1"/>
          <w:u w:val="single" w:color="auto"/>
          <w:color w:val="auto"/>
        </w:rPr>
        <w:t>Confidentiality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Agreement</w:t>
      </w:r>
      <w:r>
        <w:rPr>
          <w:rFonts w:ascii="Times New Roman" w:cs="Times New Roman" w:eastAsia="Times New Roman" w:hAnsi="Times New Roman"/>
          <w:sz w:val="20"/>
          <w:szCs w:val="20"/>
          <w:color w:val="auto"/>
        </w:rPr>
        <w:t>”), the terms of which are incorporated herein by reference.</w:t>
      </w:r>
    </w:p>
    <w:p>
      <w:pPr>
        <w:spacing w:after="0" w:line="155" w:lineRule="exact"/>
        <w:rPr>
          <w:rFonts w:ascii="Times New Roman" w:cs="Times New Roman" w:eastAsia="Times New Roman" w:hAnsi="Times New Roman"/>
          <w:sz w:val="20"/>
          <w:szCs w:val="20"/>
          <w:color w:val="010000"/>
        </w:rPr>
      </w:pPr>
    </w:p>
    <w:p>
      <w:pPr>
        <w:jc w:val="both"/>
        <w:ind w:left="1500" w:hanging="369"/>
        <w:spacing w:after="0" w:line="244" w:lineRule="auto"/>
        <w:tabs>
          <w:tab w:leader="none" w:pos="1500" w:val="left"/>
        </w:tabs>
        <w:numPr>
          <w:ilvl w:val="0"/>
          <w:numId w:val="1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Seller nor Buyer may issue a press release with respect to this Agreement and the transactions contemplated thereby and the transactions contemplated hereby without the prior written consent of the other party and provided that the content of any such press release shall be subject to the prior written consent of the other party hereto and in no event shall any such press release issued by Buyer disclose the identity of Seller’s direct or indirect beneficial owners by name or the consideration paid to Seller for the Property. Notwithstanding anything to the contrary contained herein, Buyer’s disclosure of this Agreement or the transactions contemplated hereby in securities filings or in communications to shareholders and investors of Buyer shall not be prohibited by this Agreement.</w:t>
      </w:r>
    </w:p>
    <w:p>
      <w:pPr>
        <w:spacing w:after="0" w:line="185" w:lineRule="exact"/>
        <w:rPr>
          <w:rFonts w:ascii="Times New Roman" w:cs="Times New Roman" w:eastAsia="Times New Roman" w:hAnsi="Times New Roman"/>
          <w:sz w:val="20"/>
          <w:szCs w:val="20"/>
          <w:color w:val="010000"/>
        </w:rPr>
      </w:pPr>
    </w:p>
    <w:p>
      <w:pPr>
        <w:jc w:val="both"/>
        <w:ind w:left="1500" w:hanging="369"/>
        <w:spacing w:after="0" w:line="246" w:lineRule="auto"/>
        <w:tabs>
          <w:tab w:leader="none" w:pos="1500" w:val="left"/>
        </w:tabs>
        <w:numPr>
          <w:ilvl w:val="0"/>
          <w:numId w:val="1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the foregoing and anything to the contrary in this Agreement or in the Confidentiality Agreement, nothing contained herein shall impair Buyer’s or Seller’s right to disclose information relating to this Agreement or the Property (a) to any due diligence representatives and/or consultants that are engaged by, work for or are acting on behalf of, any securities dealers and/or broker dealers evaluating the disclosing party or an affiliate of the disclosing party, (b) in connection with any filings (including any amendment 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7" w:name="page208"/>
    <w:bookmarkEnd w:id="207"/>
    <w:p>
      <w:pPr>
        <w:jc w:val="both"/>
        <w:ind w:left="1500"/>
        <w:spacing w:after="0" w:line="249" w:lineRule="auto"/>
        <w:rPr>
          <w:sz w:val="20"/>
          <w:szCs w:val="20"/>
          <w:color w:val="auto"/>
        </w:rPr>
      </w:pPr>
      <w:r>
        <w:rPr>
          <w:rFonts w:ascii="Times New Roman" w:cs="Times New Roman" w:eastAsia="Times New Roman" w:hAnsi="Times New Roman"/>
          <w:sz w:val="20"/>
          <w:szCs w:val="20"/>
          <w:color w:val="auto"/>
        </w:rPr>
        <w:t>supplement to any S-11 filing) with governmental agencies (including the SEC) by the disclosing party or any affiliate of the disclosing party or by any REIT holding, or that is considering holding, an interest (direct or indirect) in the disclosing party or an affiliate of the disclosing party, and (c) to any broker/dealers in the disclosing party’s or any REIT’s broker/dealer network and any of the REIT’s or the disclosing party’s investors.</w:t>
      </w:r>
    </w:p>
    <w:p>
      <w:pPr>
        <w:spacing w:after="0" w:line="180" w:lineRule="exact"/>
        <w:rPr>
          <w:sz w:val="20"/>
          <w:szCs w:val="20"/>
          <w:color w:val="auto"/>
        </w:rPr>
      </w:pPr>
    </w:p>
    <w:p>
      <w:pPr>
        <w:ind w:left="1500" w:hanging="369"/>
        <w:spacing w:after="0"/>
        <w:tabs>
          <w:tab w:leader="none" w:pos="1500" w:val="left"/>
        </w:tabs>
        <w:numPr>
          <w:ilvl w:val="0"/>
          <w:numId w:val="1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provisions of this Section 26 shall survive Closing or the termination of this Agreement.</w:t>
      </w:r>
    </w:p>
    <w:p>
      <w:pPr>
        <w:spacing w:after="0" w:line="2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9"/>
          <w:szCs w:val="19"/>
          <w:b w:val="1"/>
          <w:bCs w:val="1"/>
          <w:color w:val="010000"/>
        </w:rPr>
        <w:t>Section</w:t>
      </w:r>
      <w:r>
        <w:rPr>
          <w:rFonts w:ascii="Times New Roman" w:cs="Times New Roman" w:eastAsia="Times New Roman" w:hAnsi="Times New Roman"/>
          <w:sz w:val="19"/>
          <w:szCs w:val="19"/>
          <w:b w:val="1"/>
          <w:bCs w:val="1"/>
          <w:color w:val="auto"/>
        </w:rPr>
        <w:tab/>
        <w:t xml:space="preserve">Exculpation. </w:t>
      </w:r>
      <w:r>
        <w:rPr>
          <w:rFonts w:ascii="Times New Roman" w:cs="Times New Roman" w:eastAsia="Times New Roman" w:hAnsi="Times New Roman"/>
          <w:sz w:val="19"/>
          <w:szCs w:val="19"/>
          <w:color w:val="auto"/>
        </w:rPr>
        <w:t>Notwithstanding anything to the contrary contained herein, Seller’s shareholders, partners, members, the partners or</w:t>
      </w:r>
    </w:p>
    <w:p>
      <w:pPr>
        <w:spacing w:after="0" w:line="37" w:lineRule="exact"/>
        <w:rPr>
          <w:sz w:val="20"/>
          <w:szCs w:val="20"/>
          <w:color w:val="auto"/>
        </w:rPr>
      </w:pPr>
    </w:p>
    <w:p>
      <w:pPr>
        <w:jc w:val="both"/>
        <w:ind w:left="860" w:hanging="852"/>
        <w:spacing w:after="0" w:line="241" w:lineRule="auto"/>
        <w:tabs>
          <w:tab w:leader="none" w:pos="860" w:val="left"/>
        </w:tabs>
        <w:numPr>
          <w:ilvl w:val="0"/>
          <w:numId w:val="156"/>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color w:val="auto"/>
        </w:rPr>
        <w:t xml:space="preserve">members of such partners or members, the shareholders of such partners or members, and the trustees, officers, directors, employees, agents and security holders of Seller and the partners or members of Seller assume no personal liability for any obligations entered into on behalf of Seller and its individual assets shall not be subject to any claims of any Person relating to such obligations. The foregoing shall govern any direct and indirect obligations of Seller under this Agreement. The provisions of this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shall survive the Closing or any termination of this Agreement.</w:t>
      </w:r>
    </w:p>
    <w:p>
      <w:pPr>
        <w:spacing w:after="0" w:line="18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Survival</w:t>
      </w:r>
      <w:r>
        <w:rPr>
          <w:rFonts w:ascii="Times New Roman" w:cs="Times New Roman" w:eastAsia="Times New Roman" w:hAnsi="Times New Roman"/>
          <w:sz w:val="20"/>
          <w:szCs w:val="20"/>
          <w:color w:val="auto"/>
        </w:rPr>
        <w:t>. Except for the rights and obligations of Seller and Buyer which by their express terms shall survive, including, without</w:t>
      </w:r>
    </w:p>
    <w:p>
      <w:pPr>
        <w:spacing w:after="0" w:line="26" w:lineRule="exact"/>
        <w:rPr>
          <w:sz w:val="20"/>
          <w:szCs w:val="20"/>
          <w:color w:val="auto"/>
        </w:rPr>
      </w:pPr>
    </w:p>
    <w:p>
      <w:pPr>
        <w:ind w:left="860" w:hanging="852"/>
        <w:spacing w:after="0" w:line="246" w:lineRule="auto"/>
        <w:tabs>
          <w:tab w:leader="none" w:pos="860" w:val="left"/>
        </w:tabs>
        <w:numPr>
          <w:ilvl w:val="0"/>
          <w:numId w:val="157"/>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color w:val="auto"/>
        </w:rPr>
        <w:t>limitation, Seller’s and Buyer’s representations and warranties, none of the rights and obligations of Buyer and Seller shall survive Closing or the termination of this Agreement.</w:t>
      </w:r>
    </w:p>
    <w:p>
      <w:pPr>
        <w:spacing w:after="0" w:line="17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Computation of Time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29.</w:t>
      </w:r>
    </w:p>
    <w:p>
      <w:pPr>
        <w:spacing w:after="0" w:line="194" w:lineRule="exact"/>
        <w:rPr>
          <w:sz w:val="20"/>
          <w:szCs w:val="20"/>
          <w:color w:val="auto"/>
        </w:rPr>
      </w:pPr>
    </w:p>
    <w:p>
      <w:pPr>
        <w:jc w:val="both"/>
        <w:ind w:firstLine="8"/>
        <w:spacing w:after="0" w:line="246" w:lineRule="auto"/>
        <w:tabs>
          <w:tab w:leader="none" w:pos="167"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time in which any act under this Agreement is to be done shall be computed by excluding the first day and including the last day. If any date or the last day of any time period stated herein shall fall on a Saturday, Sunday or legal holiday, then the duration of such time period shall be extended so that it shall end on the next succeeding day which is not a Saturday, Sunday or legal holiday. Unless preceded by the word “business,” the word “day” shall mean a calendar day. The phrase “business day” or “business days” shall have the meaning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hereof.</w:t>
      </w:r>
    </w:p>
    <w:p>
      <w:pPr>
        <w:spacing w:after="0" w:line="1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Counterparts; Electronic Signatures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30.</w:t>
      </w:r>
    </w:p>
    <w:p>
      <w:pPr>
        <w:spacing w:after="0" w:line="194" w:lineRule="exact"/>
        <w:rPr>
          <w:sz w:val="20"/>
          <w:szCs w:val="20"/>
          <w:color w:val="auto"/>
        </w:rPr>
      </w:pPr>
    </w:p>
    <w:p>
      <w:pPr>
        <w:jc w:val="both"/>
        <w:ind w:firstLine="8"/>
        <w:spacing w:after="0" w:line="243" w:lineRule="auto"/>
        <w:tabs>
          <w:tab w:leader="none" w:pos="188"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Agreement may be executed in one or more counterparts, all of which shall be considered one and the same agreement, and shall become a binding agreement when one or more counterparts have been signed by each of the parties and delivered to the other party. Signatures to this Agreement, any amendment hereof and any notice given hereunder, delivered electronically via .pdf, .jpeg, .TIF, .TIFF or similar electronic format shall be deemed an original signature and fully effective as such for all purposes. Each party agrees to deliver promptly an executed original of this Agreement (and any amendment hereto) with its actual signature to the other party, but a failure to do so shall not affect the enforceability of this Agreement (or any amendment hereto), it being expressly agreed that each party to this Agreement shall be bound by its own electronically transmitted signature and shall accept the electronically transmitted signature of the other party to this Agreement.</w:t>
      </w:r>
    </w:p>
    <w:p>
      <w:pPr>
        <w:spacing w:after="0" w:line="18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No Recording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31.</w:t>
      </w:r>
    </w:p>
    <w:p>
      <w:pPr>
        <w:spacing w:after="0" w:line="194" w:lineRule="exact"/>
        <w:rPr>
          <w:sz w:val="20"/>
          <w:szCs w:val="20"/>
          <w:color w:val="auto"/>
        </w:rPr>
      </w:pPr>
    </w:p>
    <w:p>
      <w:pPr>
        <w:jc w:val="both"/>
        <w:ind w:right="480" w:firstLine="8"/>
        <w:spacing w:after="0" w:line="254" w:lineRule="auto"/>
        <w:tabs>
          <w:tab w:leader="none" w:pos="148"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shall not record this Agreement or any memorandum or other notice thereof. If such recording shall occur, Seller shall have, in addition to all other remedies for breach by law, the right to terminate this Agreement by written notice to Buyer and obtain the Earnest Money.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8" w:name="page209"/>
    <w:bookmarkEnd w:id="208"/>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Severability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32.</w:t>
      </w:r>
    </w:p>
    <w:p>
      <w:pPr>
        <w:spacing w:after="0" w:line="194" w:lineRule="exact"/>
        <w:rPr>
          <w:sz w:val="20"/>
          <w:szCs w:val="20"/>
          <w:color w:val="auto"/>
        </w:rPr>
      </w:pPr>
    </w:p>
    <w:p>
      <w:pPr>
        <w:ind w:right="200" w:firstLine="8"/>
        <w:spacing w:after="0" w:line="249" w:lineRule="auto"/>
        <w:tabs>
          <w:tab w:leader="none" w:pos="148"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possible, each provision of this Agreement shall be interpreted in such a manner as to be valid under applicable law, but, if any provision of this Agreement shall be invalid or prohibited thereunder, such invalidity or prohibition shall be construed as if such invalid or prohibited provision had not been inserted herein and shall not affect the remainder of such provision or the remaining provisions of this Agreement.</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Interpretation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33.</w:t>
      </w:r>
    </w:p>
    <w:p>
      <w:pPr>
        <w:spacing w:after="0" w:line="194" w:lineRule="exact"/>
        <w:rPr>
          <w:sz w:val="20"/>
          <w:szCs w:val="20"/>
          <w:color w:val="auto"/>
        </w:rPr>
      </w:pPr>
    </w:p>
    <w:p>
      <w:pPr>
        <w:ind w:right="20" w:firstLine="8"/>
        <w:spacing w:after="0" w:line="242" w:lineRule="auto"/>
        <w:tabs>
          <w:tab w:leader="none" w:pos="148"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not be construed more strictly against one party than against the other merely by virtue of the fact that it may have been prepared primarily by counsel for one of the parties, it being recognized that both Buyer and Seller have contributed substantially and materially to the preparation of this Agreement. As used in this Agreement, unless otherwise expressly provided: (a) each reference to a “Preamble,” “Recital,” “Article,” “Section,” “Exhibit” or “Schedule” means a preamble, recital, article or section of, or exhibit or schedule to, this Agreement; (b) each reference to “include,” “includes” or “including” is deemed to be followed by the words “without limitation”; (c) each of the words “hereof” “herein” and “hereunder” and words of similar import, refer to this Agreement as a whole and not to any particular provision in this Agreement; (d) each term defined in the singular has a comparable meaning when used in the plural and vice versa; (e) any capitalized term used in any Exhibit or Schedule but not otherwise defined therein will have the meaning provided to that capitalized term in this Agreement; (f) the word “any” means “any and all” unless the context dictates otherwise; (g) the word “will” shall have the same meaning as the word “shall” and vice versa; and (h) each reference to “Dollars” or “$” means U.S. Dollars.</w:t>
      </w:r>
    </w:p>
    <w:p>
      <w:pPr>
        <w:spacing w:after="0" w:line="18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010000"/>
        </w:rPr>
        <w:t>Section</w:t>
      </w:r>
      <w:r>
        <w:rPr>
          <w:rFonts w:ascii="Times New Roman" w:cs="Times New Roman" w:eastAsia="Times New Roman" w:hAnsi="Times New Roman"/>
          <w:sz w:val="20"/>
          <w:szCs w:val="20"/>
          <w:b w:val="1"/>
          <w:bCs w:val="1"/>
          <w:color w:val="auto"/>
        </w:rPr>
        <w:tab/>
        <w:t>Affiliated Leases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34.</w:t>
      </w:r>
    </w:p>
    <w:p>
      <w:pPr>
        <w:spacing w:after="0" w:line="194" w:lineRule="exact"/>
        <w:rPr>
          <w:sz w:val="20"/>
          <w:szCs w:val="20"/>
          <w:color w:val="auto"/>
        </w:rPr>
      </w:pPr>
    </w:p>
    <w:p>
      <w:pPr>
        <w:jc w:val="both"/>
        <w:ind w:firstLine="8"/>
        <w:spacing w:after="0" w:line="249" w:lineRule="auto"/>
        <w:tabs>
          <w:tab w:leader="none" w:pos="17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and Seller acknowledge and agree that as of the Effective Date, Seller and Buyer (and/or Affiliates of Buyer) are parties to certain leases, licenses or other occupancy agreements relating to the Property (collectively, the “</w:t>
      </w:r>
      <w:r>
        <w:rPr>
          <w:rFonts w:ascii="Times New Roman" w:cs="Times New Roman" w:eastAsia="Times New Roman" w:hAnsi="Times New Roman"/>
          <w:sz w:val="20"/>
          <w:szCs w:val="20"/>
          <w:b w:val="1"/>
          <w:bCs w:val="1"/>
          <w:color w:val="auto"/>
        </w:rPr>
        <w:t>Affiliated Leases</w:t>
      </w:r>
      <w:r>
        <w:rPr>
          <w:rFonts w:ascii="Times New Roman" w:cs="Times New Roman" w:eastAsia="Times New Roman" w:hAnsi="Times New Roman"/>
          <w:sz w:val="20"/>
          <w:szCs w:val="20"/>
          <w:color w:val="auto"/>
        </w:rPr>
        <w:t>”). Notwithstanding anything in this Agreement or the Access Agreement to the contrary, nothing contained in this Agreement or the Access Agreement shall be interpreted or construed to amend or modify the Affiliated Leases.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9" w:name="page210"/>
    <w:bookmarkEnd w:id="209"/>
    <w:p>
      <w:pPr>
        <w:jc w:val="center"/>
        <w:ind w:right="760"/>
        <w:spacing w:after="0" w:line="350" w:lineRule="auto"/>
        <w:rPr>
          <w:sz w:val="20"/>
          <w:szCs w:val="20"/>
          <w:color w:val="auto"/>
        </w:rPr>
      </w:pPr>
      <w:r>
        <w:rPr>
          <w:rFonts w:ascii="Times New Roman" w:cs="Times New Roman" w:eastAsia="Times New Roman" w:hAnsi="Times New Roman"/>
          <w:sz w:val="20"/>
          <w:szCs w:val="20"/>
          <w:color w:val="auto"/>
        </w:rPr>
        <w:t xml:space="preserve">IN WITNESS WHEREOF, the parties hereto have executed this Agreement as of the day and year first set forth above. </w:t>
      </w:r>
      <w:r>
        <w:rPr>
          <w:rFonts w:ascii="Times New Roman" w:cs="Times New Roman" w:eastAsia="Times New Roman" w:hAnsi="Times New Roman"/>
          <w:sz w:val="20"/>
          <w:szCs w:val="20"/>
          <w:b w:val="1"/>
          <w:bCs w:val="1"/>
          <w:color w:val="auto"/>
        </w:rPr>
        <w:t>SELLER:</w:t>
      </w:r>
    </w:p>
    <w:p>
      <w:pPr>
        <w:ind w:left="4460"/>
        <w:spacing w:after="0"/>
        <w:rPr>
          <w:sz w:val="20"/>
          <w:szCs w:val="20"/>
          <w:color w:val="auto"/>
        </w:rPr>
      </w:pPr>
      <w:r>
        <w:rPr>
          <w:rFonts w:ascii="Times New Roman" w:cs="Times New Roman" w:eastAsia="Times New Roman" w:hAnsi="Times New Roman"/>
          <w:sz w:val="20"/>
          <w:szCs w:val="20"/>
          <w:b w:val="1"/>
          <w:bCs w:val="1"/>
          <w:color w:val="auto"/>
        </w:rPr>
        <w:t>BREIT SE INDUSTRIAL PROPCO NC LP</w:t>
      </w:r>
      <w:r>
        <w:rPr>
          <w:rFonts w:ascii="Times New Roman" w:cs="Times New Roman" w:eastAsia="Times New Roman" w:hAnsi="Times New Roman"/>
          <w:sz w:val="20"/>
          <w:szCs w:val="20"/>
          <w:color w:val="auto"/>
        </w:rPr>
        <w:t>, a Delaware limited partnership</w:t>
      </w:r>
    </w:p>
    <w:p>
      <w:pPr>
        <w:spacing w:after="0" w:line="112" w:lineRule="exact"/>
        <w:rPr>
          <w:sz w:val="20"/>
          <w:szCs w:val="20"/>
          <w:color w:val="auto"/>
        </w:rPr>
      </w:pPr>
    </w:p>
    <w:p>
      <w:pPr>
        <w:ind w:left="4460" w:right="540"/>
        <w:spacing w:after="0" w:line="269" w:lineRule="auto"/>
        <w:rPr>
          <w:sz w:val="20"/>
          <w:szCs w:val="20"/>
          <w:color w:val="auto"/>
        </w:rPr>
      </w:pPr>
      <w:r>
        <w:rPr>
          <w:rFonts w:ascii="Times New Roman" w:cs="Times New Roman" w:eastAsia="Times New Roman" w:hAnsi="Times New Roman"/>
          <w:sz w:val="20"/>
          <w:szCs w:val="20"/>
          <w:color w:val="auto"/>
        </w:rPr>
        <w:t>By: BREIT SE Industrial Propco NC GP LLC, a Delaware limited liability company, its General Partner</w:t>
      </w:r>
    </w:p>
    <w:p>
      <w:pPr>
        <w:spacing w:after="0" w:line="5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By: /s/ Jonathan Duber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-10795</wp:posOffset>
            </wp:positionV>
            <wp:extent cx="15074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4">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88" w:lineRule="exact"/>
        <w:rPr>
          <w:sz w:val="20"/>
          <w:szCs w:val="20"/>
          <w:color w:val="auto"/>
        </w:rPr>
      </w:pPr>
    </w:p>
    <w:p>
      <w:pPr>
        <w:ind w:left="4460"/>
        <w:spacing w:after="0"/>
        <w:tabs>
          <w:tab w:leader="none" w:pos="5240" w:val="left"/>
        </w:tabs>
        <w:rPr>
          <w:sz w:val="20"/>
          <w:szCs w:val="20"/>
          <w:color w:val="auto"/>
        </w:rPr>
      </w:pPr>
      <w:r>
        <w:rPr>
          <w:rFonts w:ascii="Times New Roman" w:cs="Times New Roman" w:eastAsia="Times New Roman" w:hAnsi="Times New Roman"/>
          <w:sz w:val="20"/>
          <w:szCs w:val="20"/>
          <w:color w:val="auto"/>
        </w:rPr>
        <w:t>Name:</w:t>
        <w:tab/>
        <w:t>Jonathan Duber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3335020</wp:posOffset>
            </wp:positionH>
            <wp:positionV relativeFrom="paragraph">
              <wp:posOffset>-10795</wp:posOffset>
            </wp:positionV>
            <wp:extent cx="175895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5">
                      <a:extLst>
                        <a:ext uri="{28A0092B-C50C-407E-A947-70E740481C1C}"/>
                      </a:extLst>
                    </a:blip>
                    <a:srcRect/>
                    <a:stretch>
                      <a:fillRect/>
                    </a:stretch>
                  </pic:blipFill>
                  <pic:spPr bwMode="auto">
                    <a:xfrm>
                      <a:off x="0" y="0"/>
                      <a:ext cx="1758950" cy="8255"/>
                    </a:xfrm>
                    <a:prstGeom prst="rect">
                      <a:avLst/>
                    </a:prstGeom>
                    <a:noFill/>
                  </pic:spPr>
                </pic:pic>
              </a:graphicData>
            </a:graphic>
          </wp:anchor>
        </w:drawing>
      </w:r>
    </w:p>
    <w:p>
      <w:pPr>
        <w:spacing w:after="0" w:line="88" w:lineRule="exact"/>
        <w:rPr>
          <w:sz w:val="20"/>
          <w:szCs w:val="20"/>
          <w:color w:val="auto"/>
        </w:rPr>
      </w:pPr>
    </w:p>
    <w:p>
      <w:pPr>
        <w:ind w:left="4460"/>
        <w:spacing w:after="0"/>
        <w:tabs>
          <w:tab w:leader="none" w:pos="52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3335020</wp:posOffset>
            </wp:positionH>
            <wp:positionV relativeFrom="paragraph">
              <wp:posOffset>-10795</wp:posOffset>
            </wp:positionV>
            <wp:extent cx="15074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6">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BUYER:</w:t>
      </w:r>
    </w:p>
    <w:p>
      <w:pPr>
        <w:spacing w:after="0" w:line="108" w:lineRule="exact"/>
        <w:rPr>
          <w:sz w:val="20"/>
          <w:szCs w:val="20"/>
          <w:color w:val="auto"/>
        </w:rPr>
      </w:pPr>
    </w:p>
    <w:p>
      <w:pPr>
        <w:ind w:left="4460"/>
        <w:spacing w:after="0" w:line="273" w:lineRule="auto"/>
        <w:rPr>
          <w:sz w:val="20"/>
          <w:szCs w:val="20"/>
          <w:color w:val="auto"/>
        </w:rPr>
      </w:pPr>
      <w:r>
        <w:rPr>
          <w:rFonts w:ascii="Times New Roman" w:cs="Times New Roman" w:eastAsia="Times New Roman" w:hAnsi="Times New Roman"/>
          <w:sz w:val="20"/>
          <w:szCs w:val="20"/>
          <w:b w:val="1"/>
          <w:bCs w:val="1"/>
          <w:color w:val="auto"/>
        </w:rPr>
        <w:t>PROKIDNEY ACQUISITION COMPANY, LLC</w:t>
      </w:r>
      <w:r>
        <w:rPr>
          <w:rFonts w:ascii="Times New Roman" w:cs="Times New Roman" w:eastAsia="Times New Roman" w:hAnsi="Times New Roman"/>
          <w:sz w:val="20"/>
          <w:szCs w:val="20"/>
          <w:color w:val="auto"/>
        </w:rPr>
        <w:t>, a Delaware limited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w:t>
      </w:r>
    </w:p>
    <w:p>
      <w:pPr>
        <w:spacing w:after="0" w:line="3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By: /s/ Bruce Culleton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-10795</wp:posOffset>
            </wp:positionV>
            <wp:extent cx="15074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7">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spacing w:after="0" w:line="88" w:lineRule="exact"/>
        <w:rPr>
          <w:sz w:val="20"/>
          <w:szCs w:val="20"/>
          <w:color w:val="auto"/>
        </w:rPr>
      </w:pPr>
    </w:p>
    <w:p>
      <w:pPr>
        <w:ind w:left="4460"/>
        <w:spacing w:after="0"/>
        <w:tabs>
          <w:tab w:leader="none" w:pos="5240" w:val="left"/>
        </w:tabs>
        <w:rPr>
          <w:sz w:val="20"/>
          <w:szCs w:val="20"/>
          <w:color w:val="auto"/>
        </w:rPr>
      </w:pPr>
      <w:r>
        <w:rPr>
          <w:rFonts w:ascii="Times New Roman" w:cs="Times New Roman" w:eastAsia="Times New Roman" w:hAnsi="Times New Roman"/>
          <w:sz w:val="20"/>
          <w:szCs w:val="20"/>
          <w:color w:val="auto"/>
        </w:rPr>
        <w:t>Name:</w:t>
        <w:tab/>
        <w:t>Bruce Culleton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3335020</wp:posOffset>
            </wp:positionH>
            <wp:positionV relativeFrom="paragraph">
              <wp:posOffset>-10795</wp:posOffset>
            </wp:positionV>
            <wp:extent cx="175895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8">
                      <a:extLst>
                        <a:ext uri="{28A0092B-C50C-407E-A947-70E740481C1C}"/>
                      </a:extLst>
                    </a:blip>
                    <a:srcRect/>
                    <a:stretch>
                      <a:fillRect/>
                    </a:stretch>
                  </pic:blipFill>
                  <pic:spPr bwMode="auto">
                    <a:xfrm>
                      <a:off x="0" y="0"/>
                      <a:ext cx="1758950" cy="8890"/>
                    </a:xfrm>
                    <a:prstGeom prst="rect">
                      <a:avLst/>
                    </a:prstGeom>
                    <a:noFill/>
                  </pic:spPr>
                </pic:pic>
              </a:graphicData>
            </a:graphic>
          </wp:anchor>
        </w:drawing>
      </w:r>
    </w:p>
    <w:p>
      <w:pPr>
        <w:spacing w:after="0" w:line="88" w:lineRule="exact"/>
        <w:rPr>
          <w:sz w:val="20"/>
          <w:szCs w:val="20"/>
          <w:color w:val="auto"/>
        </w:rPr>
      </w:pPr>
    </w:p>
    <w:p>
      <w:pPr>
        <w:ind w:left="4460"/>
        <w:spacing w:after="0"/>
        <w:tabs>
          <w:tab w:leader="none" w:pos="52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3335020</wp:posOffset>
            </wp:positionH>
            <wp:positionV relativeFrom="paragraph">
              <wp:posOffset>-10795</wp:posOffset>
            </wp:positionV>
            <wp:extent cx="15074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9">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60" w:top="1413" w:right="619" w:bottom="1440" w:gutter="0" w:footer="0" w:header="0"/>
        </w:sectPr>
      </w:pPr>
    </w:p>
    <w:bookmarkStart w:id="210" w:name="page211"/>
    <w:bookmarkEnd w:id="21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JOINDER BY ESCROW AGENT</w:t>
      </w:r>
    </w:p>
    <w:p>
      <w:pPr>
        <w:spacing w:after="0" w:line="233"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20"/>
          <w:szCs w:val="20"/>
          <w:color w:val="auto"/>
        </w:rPr>
        <w:t>Escrow Agent joins in the execution of this Agreement to evidence its agreement to receive, hold and disburse funds and documents in accordance with the terms and provisions of the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ESCROW AGENT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STEWART TITLE GUARANTY COMPANY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Laura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-10795</wp:posOffset>
            </wp:positionV>
            <wp:extent cx="201676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1">
                      <a:extLst>
                        <a:ext uri="{28A0092B-C50C-407E-A947-70E740481C1C}"/>
                      </a:extLst>
                    </a:blip>
                    <a:srcRect/>
                    <a:stretch>
                      <a:fillRect/>
                    </a:stretch>
                  </pic:blipFill>
                  <pic:spPr bwMode="auto">
                    <a:xfrm>
                      <a:off x="0" y="0"/>
                      <a:ext cx="201676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Laura Schumacher,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-10795</wp:posOffset>
            </wp:positionV>
            <wp:extent cx="211455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2">
                      <a:extLst>
                        <a:ext uri="{28A0092B-C50C-407E-A947-70E740481C1C}"/>
                      </a:extLst>
                    </a:blip>
                    <a:srcRect/>
                    <a:stretch>
                      <a:fillRect/>
                    </a:stretch>
                  </pic:blipFill>
                  <pic:spPr bwMode="auto">
                    <a:xfrm>
                      <a:off x="0" y="0"/>
                      <a:ext cx="211455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Underwriting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-10795</wp:posOffset>
            </wp:positionV>
            <wp:extent cx="19265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3">
                      <a:extLst>
                        <a:ext uri="{28A0092B-C50C-407E-A947-70E740481C1C}"/>
                      </a:extLst>
                    </a:blip>
                    <a:srcRect/>
                    <a:stretch>
                      <a:fillRect/>
                    </a:stretch>
                  </pic:blipFill>
                  <pic:spPr bwMode="auto">
                    <a:xfrm>
                      <a:off x="0" y="0"/>
                      <a:ext cx="19265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211" w:name="page212"/>
    <w:bookmarkEnd w:id="211"/>
    <w:p>
      <w:pPr>
        <w:jc w:val="center"/>
        <w:ind w:right="-112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b w:val="1"/>
          <w:bCs w:val="1"/>
          <w:color w:val="auto"/>
        </w:rPr>
        <w:t>LEGAL DESCRIPTION OF REAL PROPERTY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Legal Description of the Real Property commonly known as </w:t>
      </w:r>
      <w:r>
        <w:rPr>
          <w:rFonts w:ascii="Times New Roman" w:cs="Times New Roman" w:eastAsia="Times New Roman" w:hAnsi="Times New Roman"/>
          <w:sz w:val="19"/>
          <w:szCs w:val="19"/>
          <w:b w:val="1"/>
          <w:bCs w:val="1"/>
          <w:color w:val="auto"/>
        </w:rPr>
        <w:t>3929 Westpoint Blvd., Winston Salem, North Carolina</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5349240" cy="442341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5">
                      <a:extLst>
                        <a:ext uri="{28A0092B-C50C-407E-A947-70E740481C1C}"/>
                      </a:extLst>
                    </a:blip>
                    <a:srcRect/>
                    <a:stretch>
                      <a:fillRect/>
                    </a:stretch>
                  </pic:blipFill>
                  <pic:spPr bwMode="auto">
                    <a:xfrm>
                      <a:off x="0" y="0"/>
                      <a:ext cx="5349240" cy="4423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9"/>
          <w:szCs w:val="19"/>
          <w:color w:val="auto"/>
        </w:rPr>
        <w:t xml:space="preserve">Legal Description of the Real Property commonly known as: </w:t>
      </w:r>
      <w:r>
        <w:rPr>
          <w:rFonts w:ascii="Times New Roman" w:cs="Times New Roman" w:eastAsia="Times New Roman" w:hAnsi="Times New Roman"/>
          <w:sz w:val="19"/>
          <w:szCs w:val="19"/>
          <w:b w:val="1"/>
          <w:bCs w:val="1"/>
          <w:color w:val="auto"/>
        </w:rPr>
        <w:t>2598 Empire Drive, Winston Salem,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5349240" cy="425196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7">
                      <a:extLst>
                        <a:ext uri="{28A0092B-C50C-407E-A947-70E740481C1C}"/>
                      </a:extLst>
                    </a:blip>
                    <a:srcRect/>
                    <a:stretch>
                      <a:fillRect/>
                    </a:stretch>
                  </pic:blipFill>
                  <pic:spPr bwMode="auto">
                    <a:xfrm>
                      <a:off x="0" y="0"/>
                      <a:ext cx="5349240" cy="4251960"/>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type w:val="continuous"/>
        </w:sectPr>
      </w:pPr>
    </w:p>
    <w:bookmarkStart w:id="213" w:name="page214"/>
    <w:bookmarkEnd w:id="213"/>
    <w:p>
      <w:pPr>
        <w:jc w:val="center"/>
        <w:ind w:right="-1060"/>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1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FORM OF DEED</w:t>
      </w:r>
    </w:p>
    <w:p>
      <w:pPr>
        <w:spacing w:after="0" w:line="112"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color w:val="auto"/>
        </w:rPr>
        <w:t>[EXHIBIT FOLLOWS ON NEXT PAGE]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09" w:right="1440" w:bottom="1440" w:gutter="0" w:footer="0" w:header="0"/>
        </w:sectPr>
      </w:pPr>
    </w:p>
    <w:bookmarkStart w:id="214" w:name="page215"/>
    <w:bookmarkEnd w:id="2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9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Excise Tax </w:t>
            </w:r>
            <w:r>
              <w:rPr>
                <w:rFonts w:ascii="Times New Roman" w:cs="Times New Roman" w:eastAsia="Times New Roman" w:hAnsi="Times New Roman"/>
                <w:sz w:val="20"/>
                <w:szCs w:val="20"/>
                <w:b w:val="1"/>
                <w:bCs w:val="1"/>
                <w:color w:val="auto"/>
              </w:rPr>
              <w:t>$______</w:t>
            </w:r>
          </w:p>
        </w:tc>
        <w:tc>
          <w:tcPr>
            <w:tcW w:w="1020" w:type="dxa"/>
            <w:vAlign w:val="bottom"/>
          </w:tcPr>
          <w:p>
            <w:pPr>
              <w:spacing w:after="0"/>
              <w:rPr>
                <w:sz w:val="22"/>
                <w:szCs w:val="22"/>
                <w:color w:val="auto"/>
              </w:rPr>
            </w:pPr>
          </w:p>
        </w:tc>
        <w:tc>
          <w:tcPr>
            <w:tcW w:w="498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auto"/>
              </w:rPr>
              <w:t>Recording Time, Book and Page</w:t>
            </w:r>
          </w:p>
        </w:tc>
      </w:tr>
      <w:tr>
        <w:trPr>
          <w:trHeight w:val="480"/>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Tax Lot No. _____________________________</w:t>
            </w:r>
          </w:p>
        </w:tc>
        <w:tc>
          <w:tcPr>
            <w:tcW w:w="60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9"/>
              </w:rPr>
              <w:t>Verified by ___________________________ County on the _____ day of</w:t>
            </w:r>
          </w:p>
        </w:tc>
      </w:tr>
      <w:tr>
        <w:trPr>
          <w:trHeight w:val="20"/>
        </w:trPr>
        <w:tc>
          <w:tcPr>
            <w:tcW w:w="3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_______________</w:t>
      </w:r>
      <w:r>
        <w:rPr>
          <w:rFonts w:ascii="Times New Roman" w:cs="Times New Roman" w:eastAsia="Times New Roman" w:hAnsi="Times New Roman"/>
          <w:sz w:val="20"/>
          <w:szCs w:val="20"/>
          <w:color w:val="auto"/>
        </w:rPr>
        <w:t>, 201__ by __________________________________________________________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Mail after recording to:</w:t>
      </w:r>
    </w:p>
    <w:p>
      <w:pPr>
        <w:spacing w:after="0" w:line="229" w:lineRule="exact"/>
        <w:rPr>
          <w:sz w:val="20"/>
          <w:szCs w:val="20"/>
          <w:color w:val="auto"/>
        </w:rPr>
      </w:pPr>
    </w:p>
    <w:p>
      <w:pPr>
        <w:jc w:val="right"/>
        <w:ind w:right="8040"/>
        <w:spacing w:after="0"/>
        <w:rPr>
          <w:sz w:val="20"/>
          <w:szCs w:val="20"/>
          <w:color w:val="auto"/>
        </w:rPr>
      </w:pPr>
      <w:r>
        <w:rPr>
          <w:rFonts w:ascii="Times New Roman" w:cs="Times New Roman" w:eastAsia="Times New Roman" w:hAnsi="Times New Roman"/>
          <w:sz w:val="19"/>
          <w:szCs w:val="19"/>
          <w:color w:val="auto"/>
        </w:rPr>
        <w:t>This instrument was prepared by:</w:t>
      </w:r>
    </w:p>
    <w:p>
      <w:pPr>
        <w:spacing w:after="0" w:line="241" w:lineRule="exact"/>
        <w:rPr>
          <w:sz w:val="20"/>
          <w:szCs w:val="20"/>
          <w:color w:val="auto"/>
        </w:rPr>
      </w:pPr>
    </w:p>
    <w:p>
      <w:pPr>
        <w:jc w:val="right"/>
        <w:ind w:right="8020"/>
        <w:spacing w:after="0"/>
        <w:rPr>
          <w:sz w:val="20"/>
          <w:szCs w:val="20"/>
          <w:color w:val="auto"/>
        </w:rPr>
      </w:pPr>
      <w:r>
        <w:rPr>
          <w:rFonts w:ascii="Times New Roman" w:cs="Times New Roman" w:eastAsia="Times New Roman" w:hAnsi="Times New Roman"/>
          <w:sz w:val="20"/>
          <w:szCs w:val="20"/>
          <w:color w:val="auto"/>
        </w:rPr>
        <w:t>Brief Description for the index</w:t>
      </w:r>
    </w:p>
    <w:p>
      <w:pPr>
        <w:spacing w:after="0" w:line="200" w:lineRule="exact"/>
        <w:rPr>
          <w:sz w:val="20"/>
          <w:szCs w:val="20"/>
          <w:color w:val="auto"/>
        </w:rPr>
      </w:pPr>
    </w:p>
    <w:p>
      <w:pPr>
        <w:spacing w:after="0" w:line="32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NORTH CAROLINA SPECIAL WARRANTY DEED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THIS DEED made </w:t>
      </w:r>
      <w:r>
        <w:rPr>
          <w:rFonts w:ascii="Times New Roman" w:cs="Times New Roman" w:eastAsia="Times New Roman" w:hAnsi="Times New Roman"/>
          <w:sz w:val="20"/>
          <w:szCs w:val="20"/>
          <w:b w:val="1"/>
          <w:bCs w:val="1"/>
          <w:color w:val="auto"/>
        </w:rPr>
        <w:t>this the _______ day of __________________, 20___,</w:t>
      </w:r>
      <w:r>
        <w:rPr>
          <w:rFonts w:ascii="Times New Roman" w:cs="Times New Roman" w:eastAsia="Times New Roman" w:hAnsi="Times New Roman"/>
          <w:sz w:val="20"/>
          <w:szCs w:val="20"/>
          <w:color w:val="auto"/>
        </w:rPr>
        <w:t xml:space="preserve"> by and between</w:t>
      </w:r>
    </w:p>
    <w:p>
      <w:pPr>
        <w:sectPr>
          <w:pgSz w:w="11900" w:h="16838" w:orient="portrait"/>
          <w:cols w:equalWidth="0" w:num="1">
            <w:col w:w="10700"/>
          </w:cols>
          <w:pgMar w:left="320" w:top="1440" w:right="879" w:bottom="1440" w:gutter="0" w:footer="0" w:header="0"/>
        </w:sectPr>
      </w:pPr>
    </w:p>
    <w:p>
      <w:pPr>
        <w:spacing w:after="0" w:line="24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auto"/>
        </w:rPr>
        <w:t>GRANTOR</w:t>
      </w: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_____________________</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u w:val="single" w:color="auto"/>
          <w:color w:val="auto"/>
        </w:rPr>
        <w:t>Tax Mailing Address</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_____________________________</w:t>
      </w:r>
    </w:p>
    <w:p>
      <w:pPr>
        <w:ind w:left="120"/>
        <w:spacing w:after="0"/>
        <w:rPr>
          <w:sz w:val="20"/>
          <w:szCs w:val="20"/>
          <w:color w:val="auto"/>
        </w:rPr>
      </w:pPr>
      <w:r>
        <w:rPr>
          <w:rFonts w:ascii="Times New Roman" w:cs="Times New Roman" w:eastAsia="Times New Roman" w:hAnsi="Times New Roman"/>
          <w:sz w:val="19"/>
          <w:szCs w:val="19"/>
          <w:b w:val="1"/>
          <w:bCs w:val="1"/>
          <w:color w:val="auto"/>
        </w:rPr>
        <w:t>___________________________________</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(required for recording)</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20"/>
          <w:szCs w:val="20"/>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-141605</wp:posOffset>
            </wp:positionV>
            <wp:extent cx="7134225" cy="21367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0">
                      <a:extLst>
                        <a:ext uri="{28A0092B-C50C-407E-A947-70E740481C1C}"/>
                      </a:extLst>
                    </a:blip>
                    <a:srcRect/>
                    <a:stretch>
                      <a:fillRect/>
                    </a:stretch>
                  </pic:blipFill>
                  <pic:spPr bwMode="auto">
                    <a:xfrm>
                      <a:off x="0" y="0"/>
                      <a:ext cx="7134225" cy="213677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______________________________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Tax Mailing Address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___________________________</w:t>
      </w:r>
    </w:p>
    <w:p>
      <w:pPr>
        <w:spacing w:after="0"/>
        <w:rPr>
          <w:sz w:val="20"/>
          <w:szCs w:val="20"/>
          <w:color w:val="auto"/>
        </w:rPr>
      </w:pPr>
      <w:r>
        <w:rPr>
          <w:rFonts w:ascii="Times New Roman" w:cs="Times New Roman" w:eastAsia="Times New Roman" w:hAnsi="Times New Roman"/>
          <w:sz w:val="20"/>
          <w:szCs w:val="20"/>
          <w:b w:val="1"/>
          <w:bCs w:val="1"/>
          <w:color w:val="auto"/>
        </w:rPr>
        <w:t>___________________________</w:t>
      </w:r>
    </w:p>
    <w:p>
      <w:pPr>
        <w:spacing w:after="0"/>
        <w:rPr>
          <w:sz w:val="20"/>
          <w:szCs w:val="20"/>
          <w:color w:val="auto"/>
        </w:rPr>
      </w:pPr>
      <w:r>
        <w:rPr>
          <w:rFonts w:ascii="Times New Roman" w:cs="Times New Roman" w:eastAsia="Times New Roman" w:hAnsi="Times New Roman"/>
          <w:sz w:val="20"/>
          <w:szCs w:val="20"/>
          <w:b w:val="1"/>
          <w:bCs w:val="1"/>
          <w:color w:val="auto"/>
        </w:rPr>
        <w:t>(required for recording)</w:t>
      </w:r>
    </w:p>
    <w:p>
      <w:pPr>
        <w:spacing w:after="0" w:line="200" w:lineRule="exact"/>
        <w:rPr>
          <w:sz w:val="20"/>
          <w:szCs w:val="20"/>
          <w:color w:val="auto"/>
        </w:rPr>
      </w:pPr>
    </w:p>
    <w:p>
      <w:pPr>
        <w:sectPr>
          <w:pgSz w:w="11900" w:h="16838" w:orient="portrait"/>
          <w:cols w:equalWidth="0" w:num="2">
            <w:col w:w="5020" w:space="720"/>
            <w:col w:w="4960"/>
          </w:cols>
          <w:pgMar w:left="320" w:top="1440"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Enter in appropriate block for each party: name, address, and, if appropriate, character of entity, e.g., corporation or partnership.</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440" w:right="879" w:bottom="1440" w:gutter="0" w:footer="0" w:header="0"/>
          <w:type w:val="continuous"/>
        </w:sectPr>
      </w:pPr>
    </w:p>
    <w:bookmarkStart w:id="215" w:name="page216"/>
    <w:bookmarkEnd w:id="215"/>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designation Grantor and Grantee as used herein shall include said parties, their heirs, successors, and assigns, and shall include singular, plural, masculine, feminine or neuter as required by context.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WITNESSETH, that the Grantor, for a valuable consideration paid by the Grantee, the receipt of which is hereby acknowledged, has and by these presents does grant, bargain, sell and convey unto the Grantee in fee simple all that certain lot or parcel of land situated in </w:t>
      </w:r>
      <w:r>
        <w:rPr>
          <w:rFonts w:ascii="Times New Roman" w:cs="Times New Roman" w:eastAsia="Times New Roman" w:hAnsi="Times New Roman"/>
          <w:sz w:val="20"/>
          <w:szCs w:val="20"/>
          <w:b w:val="1"/>
          <w:bCs w:val="1"/>
          <w:color w:val="auto"/>
        </w:rPr>
        <w:t>___________</w:t>
      </w:r>
      <w:r>
        <w:rPr>
          <w:rFonts w:ascii="Times New Roman" w:cs="Times New Roman" w:eastAsia="Times New Roman" w:hAnsi="Times New Roman"/>
          <w:sz w:val="20"/>
          <w:szCs w:val="20"/>
          <w:color w:val="auto"/>
        </w:rPr>
        <w:t xml:space="preserve"> County, North Carolina and more particularly described as follows:</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 xml:space="preserve">See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b w:val="1"/>
          <w:bCs w:val="1"/>
          <w:color w:val="auto"/>
        </w:rPr>
        <w:t xml:space="preserve"> attached hereto and incorporated herein by reference.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Property does ___ or does not ____ include the primary residence of Grantor.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property hereinabove described was acquired by Grantor by instrument recorded in </w:t>
      </w:r>
      <w:r>
        <w:rPr>
          <w:rFonts w:ascii="Times New Roman" w:cs="Times New Roman" w:eastAsia="Times New Roman" w:hAnsi="Times New Roman"/>
          <w:sz w:val="20"/>
          <w:szCs w:val="20"/>
          <w:b w:val="1"/>
          <w:bCs w:val="1"/>
          <w:color w:val="auto"/>
        </w:rPr>
        <w:t>Book _______</w:t>
      </w:r>
      <w:r>
        <w:rPr>
          <w:rFonts w:ascii="Times New Roman" w:cs="Times New Roman" w:eastAsia="Times New Roman" w:hAnsi="Times New Roman"/>
          <w:sz w:val="20"/>
          <w:szCs w:val="20"/>
          <w:color w:val="auto"/>
        </w:rPr>
        <w:t xml:space="preserve"> at </w:t>
      </w:r>
      <w:r>
        <w:rPr>
          <w:rFonts w:ascii="Times New Roman" w:cs="Times New Roman" w:eastAsia="Times New Roman" w:hAnsi="Times New Roman"/>
          <w:sz w:val="20"/>
          <w:szCs w:val="20"/>
          <w:b w:val="1"/>
          <w:bCs w:val="1"/>
          <w:color w:val="auto"/>
        </w:rPr>
        <w:t>Page _____</w:t>
      </w:r>
      <w:r>
        <w:rPr>
          <w:rFonts w:ascii="Times New Roman" w:cs="Times New Roman" w:eastAsia="Times New Roman" w:hAnsi="Times New Roman"/>
          <w:sz w:val="20"/>
          <w:szCs w:val="20"/>
          <w:color w:val="auto"/>
        </w:rPr>
        <w:t xml:space="preserve"> in the 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County Public Registry.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 map showing the above described property is recorded in </w:t>
      </w:r>
      <w:r>
        <w:rPr>
          <w:rFonts w:ascii="Times New Roman" w:cs="Times New Roman" w:eastAsia="Times New Roman" w:hAnsi="Times New Roman"/>
          <w:sz w:val="20"/>
          <w:szCs w:val="20"/>
          <w:b w:val="1"/>
          <w:bCs w:val="1"/>
          <w:color w:val="auto"/>
        </w:rPr>
        <w:t>Book ________ at _________</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TO HAVE AND TO HOLD the aforesaid lot or parcel of land and all privileges and appurtenances thereto belonging to the Grantee in fee simple, subject to the Permitted Exceptions (as hereinafter defined).</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And the Grantor covenants with the Grantee, that Grantor has done nothing to impair such title as Grantor received, and Grantor will warrant and defend the title against the lawful claims of all persons claiming by, under or through Grantor, except for non-delinquent real estate taxes, rights of any tenants in possession as tenants only under unrecorded leases, all easements, conditions restrictions, reservations, covenants and other matters of record and all matters that a current, accurate survey of the Property would show (collectively, the “</w:t>
      </w:r>
      <w:r>
        <w:rPr>
          <w:rFonts w:ascii="Times New Roman" w:cs="Times New Roman" w:eastAsia="Times New Roman" w:hAnsi="Times New Roman"/>
          <w:sz w:val="20"/>
          <w:szCs w:val="20"/>
          <w:b w:val="1"/>
          <w:bCs w:val="1"/>
          <w:color w:val="auto"/>
        </w:rPr>
        <w:t>Permitted Exceptions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 FOLLOWS]</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6" w:name="page217"/>
    <w:bookmarkEnd w:id="216"/>
    <w:p>
      <w:pPr>
        <w:spacing w:after="0" w:line="203" w:lineRule="exact"/>
        <w:rPr>
          <w:sz w:val="20"/>
          <w:szCs w:val="20"/>
          <w:color w:val="auto"/>
        </w:rPr>
      </w:pPr>
    </w:p>
    <w:p>
      <w:pPr>
        <w:ind w:left="120" w:right="220"/>
        <w:spacing w:after="0" w:line="269" w:lineRule="auto"/>
        <w:rPr>
          <w:sz w:val="20"/>
          <w:szCs w:val="20"/>
          <w:color w:val="auto"/>
        </w:rPr>
      </w:pPr>
      <w:r>
        <w:rPr>
          <w:rFonts w:ascii="Times New Roman" w:cs="Times New Roman" w:eastAsia="Times New Roman" w:hAnsi="Times New Roman"/>
          <w:sz w:val="20"/>
          <w:szCs w:val="20"/>
          <w:color w:val="auto"/>
        </w:rPr>
        <w:t>IN WITNESS WHEREOF, the Grantor has hereunto set his hand and seal, or if corporate, has caused this instrument to be signed in its corporate name by its duly authorized officers and its seal to be hereunto affixed the day and year first above written.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____________________________________________(SEAL)</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 OF 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COUNTY OF _____________________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____________________________________________,the undersigned, a Notary Public in and for said County, in said State, hereby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certify that </w:t>
      </w:r>
      <w:r>
        <w:rPr>
          <w:rFonts w:ascii="Times New Roman" w:cs="Times New Roman" w:eastAsia="Times New Roman" w:hAnsi="Times New Roman"/>
          <w:sz w:val="19"/>
          <w:szCs w:val="19"/>
          <w:b w:val="1"/>
          <w:bCs w:val="1"/>
          <w:color w:val="auto"/>
        </w:rPr>
        <w:t>_______________________________________</w:t>
      </w:r>
      <w:r>
        <w:rPr>
          <w:rFonts w:ascii="Times New Roman" w:cs="Times New Roman" w:eastAsia="Times New Roman" w:hAnsi="Times New Roman"/>
          <w:sz w:val="19"/>
          <w:szCs w:val="19"/>
          <w:color w:val="auto"/>
        </w:rPr>
        <w:t xml:space="preserve"> personally and voluntarily appeared before me this day and acknowledged that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she signed the foregoing instrument.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Witness my hand and official seal, this the _______ day of __________________, 20____.</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_______________________________________________</w:t>
      </w:r>
    </w:p>
    <w:p>
      <w:pPr>
        <w:spacing w:after="0" w:line="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Notary Public</w:t>
      </w:r>
    </w:p>
    <w:p>
      <w:pPr>
        <w:ind w:left="2780"/>
        <w:spacing w:after="0"/>
        <w:rPr>
          <w:sz w:val="20"/>
          <w:szCs w:val="20"/>
          <w:color w:val="auto"/>
        </w:rPr>
      </w:pPr>
      <w:r>
        <w:rPr>
          <w:rFonts w:ascii="Times New Roman" w:cs="Times New Roman" w:eastAsia="Times New Roman" w:hAnsi="Times New Roman"/>
          <w:sz w:val="20"/>
          <w:szCs w:val="20"/>
          <w:color w:val="auto"/>
        </w:rPr>
        <w:t>Name typed/printed:_______________________________</w:t>
      </w:r>
    </w:p>
    <w:p>
      <w:pPr>
        <w:ind w:left="2260"/>
        <w:spacing w:after="0"/>
        <w:rPr>
          <w:sz w:val="20"/>
          <w:szCs w:val="20"/>
          <w:color w:val="auto"/>
        </w:rPr>
      </w:pPr>
      <w:r>
        <w:rPr>
          <w:rFonts w:ascii="Times New Roman" w:cs="Times New Roman" w:eastAsia="Times New Roman" w:hAnsi="Times New Roman"/>
          <w:sz w:val="20"/>
          <w:szCs w:val="20"/>
          <w:color w:val="auto"/>
        </w:rPr>
        <w:t>(SEAL)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 Commission Expires:____________________</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217" w:name="page218"/>
    <w:bookmarkEnd w:id="217"/>
    <w:p>
      <w:pPr>
        <w:spacing w:after="0" w:line="200" w:lineRule="exact"/>
        <w:rPr>
          <w:sz w:val="20"/>
          <w:szCs w:val="20"/>
          <w:color w:val="auto"/>
        </w:rPr>
      </w:pPr>
    </w:p>
    <w:p>
      <w:pPr>
        <w:spacing w:after="0" w:line="21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EXHIBIT A TO SPECIAL WARRANTY DEED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40" w:right="1440" w:bottom="1440" w:gutter="0" w:footer="0" w:header="0"/>
        </w:sectPr>
      </w:pPr>
    </w:p>
    <w:bookmarkStart w:id="218" w:name="page219"/>
    <w:bookmarkEnd w:id="218"/>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OF</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GENERAL ASSIGNMENT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THIS GENERAL ASSIGNMENT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color w:val="auto"/>
        </w:rPr>
        <w:t>Assignment</w:t>
      </w:r>
      <w:r>
        <w:rPr>
          <w:rFonts w:ascii="Times New Roman" w:cs="Times New Roman" w:eastAsia="Times New Roman" w:hAnsi="Times New Roman"/>
          <w:sz w:val="20"/>
          <w:szCs w:val="20"/>
          <w:color w:val="auto"/>
        </w:rPr>
        <w:t>”), is made as of __________, 2024, by and between</w:t>
      </w:r>
      <w:r>
        <w:rPr>
          <w:rFonts w:ascii="Times New Roman" w:cs="Times New Roman" w:eastAsia="Times New Roman" w:hAnsi="Times New Roman"/>
          <w:sz w:val="20"/>
          <w:szCs w:val="20"/>
          <w:b w:val="1"/>
          <w:bCs w:val="1"/>
          <w:color w:val="auto"/>
        </w:rPr>
        <w:t xml:space="preserve"> BREIT 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INDUSTRIAL PROPCO NC LP</w:t>
      </w:r>
      <w:r>
        <w:rPr>
          <w:rFonts w:ascii="Times New Roman" w:cs="Times New Roman" w:eastAsia="Times New Roman" w:hAnsi="Times New Roman"/>
          <w:sz w:val="20"/>
          <w:szCs w:val="20"/>
          <w:color w:val="auto"/>
        </w:rPr>
        <w:t>, a Delaware limited partnership (“</w:t>
      </w:r>
      <w:r>
        <w:rPr>
          <w:rFonts w:ascii="Times New Roman" w:cs="Times New Roman" w:eastAsia="Times New Roman" w:hAnsi="Times New Roman"/>
          <w:sz w:val="20"/>
          <w:szCs w:val="20"/>
          <w:b w:val="1"/>
          <w:bCs w:val="1"/>
          <w:color w:val="auto"/>
        </w:rPr>
        <w:t>Assignor</w:t>
      </w:r>
      <w:r>
        <w:rPr>
          <w:rFonts w:ascii="Times New Roman" w:cs="Times New Roman" w:eastAsia="Times New Roman" w:hAnsi="Times New Roman"/>
          <w:sz w:val="20"/>
          <w:szCs w:val="20"/>
          <w:color w:val="auto"/>
        </w:rPr>
        <w:t>”), and [____________], a [_____________] (“</w:t>
      </w:r>
      <w:r>
        <w:rPr>
          <w:rFonts w:ascii="Times New Roman" w:cs="Times New Roman" w:eastAsia="Times New Roman" w:hAnsi="Times New Roman"/>
          <w:sz w:val="20"/>
          <w:szCs w:val="20"/>
          <w:b w:val="1"/>
          <w:bCs w:val="1"/>
          <w:color w:val="auto"/>
        </w:rPr>
        <w:t>Assignee</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Assignor and Assignee entered into that certain Agreement for Purchase and Sale of Real Property dated as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 2024 (as may have been amended from time to time, the “</w:t>
      </w:r>
      <w:r>
        <w:rPr>
          <w:rFonts w:ascii="Times New Roman" w:cs="Times New Roman" w:eastAsia="Times New Roman" w:hAnsi="Times New Roman"/>
          <w:sz w:val="20"/>
          <w:szCs w:val="20"/>
          <w:b w:val="1"/>
          <w:bCs w:val="1"/>
          <w:color w:val="auto"/>
        </w:rPr>
        <w:t>Purchase Agreement</w:t>
      </w:r>
      <w:r>
        <w:rPr>
          <w:rFonts w:ascii="Times New Roman" w:cs="Times New Roman" w:eastAsia="Times New Roman" w:hAnsi="Times New Roman"/>
          <w:sz w:val="20"/>
          <w:szCs w:val="20"/>
          <w:color w:val="auto"/>
        </w:rPr>
        <w:t>”), relating to the sale of certain property</w:t>
      </w:r>
    </w:p>
    <w:p>
      <w:pPr>
        <w:ind w:right="200"/>
        <w:spacing w:after="0" w:line="242" w:lineRule="auto"/>
        <w:rPr>
          <w:sz w:val="20"/>
          <w:szCs w:val="20"/>
          <w:color w:val="auto"/>
        </w:rPr>
      </w:pPr>
      <w:r>
        <w:rPr>
          <w:rFonts w:ascii="Times New Roman" w:cs="Times New Roman" w:eastAsia="Times New Roman" w:hAnsi="Times New Roman"/>
          <w:sz w:val="20"/>
          <w:szCs w:val="20"/>
          <w:color w:val="auto"/>
        </w:rPr>
        <w:t xml:space="preserve">located at </w:t>
      </w:r>
      <w:r>
        <w:rPr>
          <w:rFonts w:ascii="Times New Roman" w:cs="Times New Roman" w:eastAsia="Times New Roman" w:hAnsi="Times New Roman"/>
          <w:sz w:val="20"/>
          <w:szCs w:val="20"/>
          <w:b w:val="1"/>
          <w:bCs w:val="1"/>
          <w:color w:val="auto"/>
        </w:rPr>
        <w:t>3929 Westpoint Blvd., Winston Salem, North Carolina, and 2598 Empire Drive, Winston Salem, North Carolina</w:t>
      </w:r>
      <w:r>
        <w:rPr>
          <w:rFonts w:ascii="Times New Roman" w:cs="Times New Roman" w:eastAsia="Times New Roman" w:hAnsi="Times New Roman"/>
          <w:sz w:val="20"/>
          <w:szCs w:val="20"/>
          <w:color w:val="auto"/>
        </w:rPr>
        <w:t xml:space="preserve"> (collectively, the “</w:t>
      </w:r>
      <w:r>
        <w:rPr>
          <w:rFonts w:ascii="Times New Roman" w:cs="Times New Roman" w:eastAsia="Times New Roman" w:hAnsi="Times New Roman"/>
          <w:sz w:val="20"/>
          <w:szCs w:val="20"/>
          <w:b w:val="1"/>
          <w:bCs w:val="1"/>
          <w:color w:val="auto"/>
        </w:rPr>
        <w:t>Property</w:t>
      </w:r>
      <w:r>
        <w:rPr>
          <w:rFonts w:ascii="Times New Roman" w:cs="Times New Roman" w:eastAsia="Times New Roman" w:hAnsi="Times New Roman"/>
          <w:sz w:val="20"/>
          <w:szCs w:val="20"/>
          <w:color w:val="auto"/>
        </w:rPr>
        <w:t>”), as more particularly set forth in the Purchase Agreement (and capitalized terms used in this Assignment and not otherwise defined shall have the respective meanings set forth in the Purchase Agreement); and</w:t>
      </w:r>
    </w:p>
    <w:p>
      <w:pPr>
        <w:spacing w:after="0" w:line="75"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Assignor desires to assign to Assignee and Assignee has agreed to assume as of the date hereof, all of Assignor’s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right, title and interest in and to the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Personalty,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Intangible Property,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those certain leases set forth on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xml:space="preserve"> attached hereto and incorporated by reference herein, including any and all security deposits thereunder, and </w:t>
      </w: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20"/>
          <w:szCs w:val="20"/>
          <w:color w:val="auto"/>
        </w:rPr>
        <w:t xml:space="preserve"> those certain contracts set forth on </w:t>
      </w:r>
      <w:r>
        <w:rPr>
          <w:rFonts w:ascii="Times New Roman" w:cs="Times New Roman" w:eastAsia="Times New Roman" w:hAnsi="Times New Roman"/>
          <w:sz w:val="20"/>
          <w:szCs w:val="20"/>
          <w:b w:val="1"/>
          <w:bCs w:val="1"/>
          <w:color w:val="auto"/>
        </w:rPr>
        <w:t>Exhibit B</w:t>
      </w:r>
      <w:r>
        <w:rPr>
          <w:rFonts w:ascii="Times New Roman" w:cs="Times New Roman" w:eastAsia="Times New Roman" w:hAnsi="Times New Roman"/>
          <w:sz w:val="20"/>
          <w:szCs w:val="20"/>
          <w:color w:val="auto"/>
        </w:rPr>
        <w:t xml:space="preserve"> attached hereto and incorporated by reference herein (collectively, the “</w:t>
      </w:r>
      <w:r>
        <w:rPr>
          <w:rFonts w:ascii="Times New Roman" w:cs="Times New Roman" w:eastAsia="Times New Roman" w:hAnsi="Times New Roman"/>
          <w:sz w:val="20"/>
          <w:szCs w:val="20"/>
          <w:b w:val="1"/>
          <w:bCs w:val="1"/>
          <w:color w:val="auto"/>
        </w:rPr>
        <w:t>Assigned Property</w:t>
      </w:r>
      <w:r>
        <w:rPr>
          <w:rFonts w:ascii="Times New Roman" w:cs="Times New Roman" w:eastAsia="Times New Roman" w:hAnsi="Times New Roman"/>
          <w:sz w:val="20"/>
          <w:szCs w:val="20"/>
          <w:color w:val="auto"/>
        </w:rPr>
        <w:t>”).</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premises and the mutual covenants herein contained, Assignor and Assignee agree as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82" w:lineRule="exact"/>
        <w:rPr>
          <w:sz w:val="20"/>
          <w:szCs w:val="20"/>
          <w:color w:val="auto"/>
        </w:rPr>
      </w:pPr>
    </w:p>
    <w:p>
      <w:pPr>
        <w:ind w:left="1500" w:hanging="369"/>
        <w:spacing w:after="0" w:line="273" w:lineRule="auto"/>
        <w:tabs>
          <w:tab w:leader="none" w:pos="1500" w:val="left"/>
        </w:tabs>
        <w:numPr>
          <w:ilvl w:val="0"/>
          <w:numId w:val="1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color w:val="auto"/>
        </w:rPr>
        <w:t>Assignment</w:t>
      </w:r>
      <w:r>
        <w:rPr>
          <w:rFonts w:ascii="Times New Roman" w:cs="Times New Roman" w:eastAsia="Times New Roman" w:hAnsi="Times New Roman"/>
          <w:sz w:val="20"/>
          <w:szCs w:val="20"/>
          <w:color w:val="auto"/>
        </w:rPr>
        <w:t>: Assignor hereby assigns, sets over and transfers unto Assignee to have and to hold from and after the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all of the right, title and interest of Assignor in, to and under the Assigned Property.</w:t>
      </w:r>
    </w:p>
    <w:p>
      <w:pPr>
        <w:spacing w:after="0" w:line="151" w:lineRule="exact"/>
        <w:rPr>
          <w:rFonts w:ascii="Times New Roman" w:cs="Times New Roman" w:eastAsia="Times New Roman" w:hAnsi="Times New Roman"/>
          <w:sz w:val="20"/>
          <w:szCs w:val="20"/>
          <w:color w:val="010000"/>
        </w:rPr>
      </w:pPr>
    </w:p>
    <w:p>
      <w:pPr>
        <w:jc w:val="both"/>
        <w:ind w:left="1500" w:hanging="369"/>
        <w:spacing w:after="0" w:line="247" w:lineRule="auto"/>
        <w:tabs>
          <w:tab w:leader="none" w:pos="1500" w:val="left"/>
        </w:tabs>
        <w:numPr>
          <w:ilvl w:val="0"/>
          <w:numId w:val="1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color w:val="auto"/>
        </w:rPr>
        <w:t>Assumption</w:t>
      </w:r>
      <w:r>
        <w:rPr>
          <w:rFonts w:ascii="Times New Roman" w:cs="Times New Roman" w:eastAsia="Times New Roman" w:hAnsi="Times New Roman"/>
          <w:sz w:val="20"/>
          <w:szCs w:val="20"/>
          <w:color w:val="auto"/>
        </w:rPr>
        <w:t>: Assignee hereby accepts the assignment, transfer and conveyance of the Assigned Property, and from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the date of this Assignment, agrees to assume and perform all of the obligations, liabilities, covenants, duties and agreements of Assignor under the Assigned Property. Assignee does hereby agree to be responsible for and perform and discharge all of the various commitments, obligations and liabilities applicable to it under and by virtue of the Assigned Property from and after the date of this Assignment.</w:t>
      </w:r>
    </w:p>
    <w:p>
      <w:pPr>
        <w:spacing w:after="0" w:line="184" w:lineRule="exact"/>
        <w:rPr>
          <w:sz w:val="20"/>
          <w:szCs w:val="20"/>
          <w:color w:val="auto"/>
        </w:rPr>
      </w:pPr>
    </w:p>
    <w:p>
      <w:pPr>
        <w:ind w:right="160" w:firstLine="749"/>
        <w:spacing w:after="0" w:line="249" w:lineRule="auto"/>
        <w:rPr>
          <w:sz w:val="20"/>
          <w:szCs w:val="20"/>
          <w:color w:val="auto"/>
        </w:rPr>
      </w:pPr>
      <w:r>
        <w:rPr>
          <w:rFonts w:ascii="Times New Roman" w:cs="Times New Roman" w:eastAsia="Times New Roman" w:hAnsi="Times New Roman"/>
          <w:sz w:val="20"/>
          <w:szCs w:val="20"/>
          <w:color w:val="auto"/>
        </w:rPr>
        <w:t>This Assignment shall be subject to, and limited by, any applicable terms, conditions, qualifications and limitations set forth in the Purchase Agreement. This Assignment may be executed in one or more identical counterparts, all of which, when taken together shall constitute one and the same instrument. Signatures to this Assignment delivered electronically via .pdf, .jpeg, .TIF, .TIFF, DocuSign or similar electronic format shall be deemed an original signature and fully effective as such for all purposes.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9" w:name="page220"/>
    <w:bookmarkEnd w:id="219"/>
    <w:p>
      <w:pPr>
        <w:ind w:left="720"/>
        <w:spacing w:after="0"/>
        <w:rPr>
          <w:sz w:val="20"/>
          <w:szCs w:val="20"/>
          <w:color w:val="auto"/>
        </w:rPr>
      </w:pPr>
      <w:r>
        <w:rPr>
          <w:rFonts w:ascii="Times New Roman" w:cs="Times New Roman" w:eastAsia="Times New Roman" w:hAnsi="Times New Roman"/>
          <w:sz w:val="20"/>
          <w:szCs w:val="20"/>
          <w:color w:val="auto"/>
        </w:rPr>
        <w:t>IN WITNESS WHEREOF, Assignor and Assignee have duly executed this Assignment as of the date first above written.</w:t>
      </w:r>
    </w:p>
    <w:p>
      <w:pPr>
        <w:spacing w:after="0" w:line="1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ASSIGNOR:</w:t>
      </w:r>
    </w:p>
    <w:p>
      <w:pPr>
        <w:spacing w:after="0" w:line="2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b w:val="1"/>
          <w:bCs w:val="1"/>
          <w:color w:val="auto"/>
        </w:rPr>
        <w:t>BREIT SE INDUSTRIAL PROPCO NC LP</w:t>
      </w:r>
      <w:r>
        <w:rPr>
          <w:rFonts w:ascii="Times New Roman" w:cs="Times New Roman" w:eastAsia="Times New Roman" w:hAnsi="Times New Roman"/>
          <w:sz w:val="19"/>
          <w:szCs w:val="19"/>
          <w:color w:val="auto"/>
        </w:rPr>
        <w:t>, a Delaware limited partnership</w:t>
      </w:r>
    </w:p>
    <w:p>
      <w:pPr>
        <w:spacing w:after="0" w:line="123" w:lineRule="exact"/>
        <w:rPr>
          <w:sz w:val="20"/>
          <w:szCs w:val="20"/>
          <w:color w:val="auto"/>
        </w:rPr>
      </w:pPr>
    </w:p>
    <w:p>
      <w:pPr>
        <w:ind w:left="4460" w:right="340"/>
        <w:spacing w:after="0" w:line="269" w:lineRule="auto"/>
        <w:rPr>
          <w:sz w:val="20"/>
          <w:szCs w:val="20"/>
          <w:color w:val="auto"/>
        </w:rPr>
      </w:pPr>
      <w:r>
        <w:rPr>
          <w:rFonts w:ascii="Times New Roman" w:cs="Times New Roman" w:eastAsia="Times New Roman" w:hAnsi="Times New Roman"/>
          <w:sz w:val="20"/>
          <w:szCs w:val="20"/>
          <w:color w:val="auto"/>
        </w:rPr>
        <w:t>By: BREIT SE Industrial Propco NC GP LLC, a Delaware limited liability company, its General Partner</w:t>
      </w:r>
    </w:p>
    <w:p>
      <w:pPr>
        <w:spacing w:after="0" w:line="5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By: ________________________________</w:t>
      </w:r>
    </w:p>
    <w:p>
      <w:pPr>
        <w:spacing w:after="0" w:line="1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______________________________</w:t>
      </w:r>
    </w:p>
    <w:p>
      <w:pPr>
        <w:spacing w:after="0" w:line="1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Title: 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60" w:top="1413" w:right="819" w:bottom="1440" w:gutter="0" w:footer="0" w:header="0"/>
        </w:sectPr>
      </w:pPr>
    </w:p>
    <w:bookmarkStart w:id="220" w:name="page221"/>
    <w:bookmarkEnd w:id="220"/>
    <w:p>
      <w:pPr>
        <w:spacing w:after="0" w:line="200" w:lineRule="exact"/>
        <w:rPr>
          <w:sz w:val="20"/>
          <w:szCs w:val="20"/>
          <w:color w:val="auto"/>
        </w:rPr>
      </w:pP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ASSIGNEE:</w:t>
      </w:r>
    </w:p>
    <w:p>
      <w:pPr>
        <w:spacing w:after="0" w:line="216" w:lineRule="exact"/>
        <w:rPr>
          <w:sz w:val="20"/>
          <w:szCs w:val="20"/>
          <w:color w:val="auto"/>
        </w:rPr>
      </w:pPr>
    </w:p>
    <w:p>
      <w:pPr>
        <w:ind w:left="4460"/>
        <w:spacing w:after="0"/>
        <w:tabs>
          <w:tab w:leader="none" w:pos="60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-10795</wp:posOffset>
            </wp:positionV>
            <wp:extent cx="96329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7">
                      <a:extLst>
                        <a:ext uri="{28A0092B-C50C-407E-A947-70E740481C1C}"/>
                      </a:extLst>
                    </a:blip>
                    <a:srcRect/>
                    <a:stretch>
                      <a:fillRect/>
                    </a:stretch>
                  </pic:blipFill>
                  <pic:spPr bwMode="auto">
                    <a:xfrm>
                      <a:off x="0" y="0"/>
                      <a:ext cx="963295" cy="8255"/>
                    </a:xfrm>
                    <a:prstGeom prst="rect">
                      <a:avLst/>
                    </a:prstGeom>
                    <a:noFill/>
                  </pic:spPr>
                </pic:pic>
              </a:graphicData>
            </a:graphic>
          </wp:anchor>
        </w:drawing>
      </w:r>
    </w:p>
    <w:p>
      <w:pPr>
        <w:spacing w:after="0" w:line="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a [______________________]</w:t>
      </w:r>
    </w:p>
    <w:p>
      <w:pPr>
        <w:spacing w:after="0" w:line="200" w:lineRule="exact"/>
        <w:rPr>
          <w:sz w:val="20"/>
          <w:szCs w:val="20"/>
          <w:color w:val="auto"/>
        </w:rPr>
      </w:pPr>
    </w:p>
    <w:p>
      <w:pPr>
        <w:spacing w:after="0" w:line="2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-10795</wp:posOffset>
            </wp:positionV>
            <wp:extent cx="126301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8">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1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3230245</wp:posOffset>
            </wp:positionH>
            <wp:positionV relativeFrom="paragraph">
              <wp:posOffset>-10795</wp:posOffset>
            </wp:positionV>
            <wp:extent cx="85852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9">
                      <a:extLst>
                        <a:ext uri="{28A0092B-C50C-407E-A947-70E740481C1C}"/>
                      </a:extLst>
                    </a:blip>
                    <a:srcRect/>
                    <a:stretch>
                      <a:fillRect/>
                    </a:stretch>
                  </pic:blipFill>
                  <pic:spPr bwMode="auto">
                    <a:xfrm>
                      <a:off x="0" y="0"/>
                      <a:ext cx="858520" cy="8890"/>
                    </a:xfrm>
                    <a:prstGeom prst="rect">
                      <a:avLst/>
                    </a:prstGeom>
                    <a:noFill/>
                  </pic:spPr>
                </pic:pic>
              </a:graphicData>
            </a:graphic>
          </wp:anchor>
        </w:drawing>
      </w:r>
    </w:p>
    <w:p>
      <w:pPr>
        <w:spacing w:after="0" w:line="1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-10795</wp:posOffset>
            </wp:positionV>
            <wp:extent cx="117284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0">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40" w:right="1440"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20"/>
          <w:szCs w:val="20"/>
          <w:b w:val="1"/>
          <w:bCs w:val="1"/>
          <w:color w:val="auto"/>
        </w:rPr>
        <w:t>Exhibit A to General Assignment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List of Leases and Security Deposits</w:t>
      </w:r>
    </w:p>
    <w:p>
      <w:pPr>
        <w:spacing w:after="0" w:line="85"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5620" w:type="dxa"/>
            <w:vAlign w:val="bottom"/>
            <w:tcBorders>
              <w:top w:val="single" w:sz="8" w:color="auto"/>
              <w:left w:val="single" w:sz="8" w:color="auto"/>
              <w:right w:val="single" w:sz="8" w:color="auto"/>
            </w:tcBorders>
            <w:gridSpan w:val="3"/>
          </w:tcPr>
          <w:p>
            <w:pPr>
              <w:ind w:left="2240"/>
              <w:spacing w:after="0"/>
              <w:rPr>
                <w:sz w:val="20"/>
                <w:szCs w:val="20"/>
                <w:color w:val="auto"/>
              </w:rPr>
            </w:pPr>
            <w:r>
              <w:rPr>
                <w:rFonts w:ascii="Times New Roman" w:cs="Times New Roman" w:eastAsia="Times New Roman" w:hAnsi="Times New Roman"/>
                <w:sz w:val="20"/>
                <w:szCs w:val="20"/>
                <w:b w:val="1"/>
                <w:bCs w:val="1"/>
                <w:color w:val="auto"/>
              </w:rPr>
              <w:t>Tenant Name</w:t>
            </w:r>
          </w:p>
        </w:tc>
        <w:tc>
          <w:tcPr>
            <w:tcW w:w="2100" w:type="dxa"/>
            <w:vAlign w:val="bottom"/>
            <w:tcBorders>
              <w:top w:val="single" w:sz="8" w:color="auto"/>
            </w:tcBorders>
          </w:tcPr>
          <w:p>
            <w:pPr>
              <w:spacing w:after="0"/>
              <w:rPr>
                <w:sz w:val="21"/>
                <w:szCs w:val="21"/>
                <w:color w:val="auto"/>
              </w:rPr>
            </w:pPr>
          </w:p>
        </w:tc>
        <w:tc>
          <w:tcPr>
            <w:tcW w:w="352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Security Deposit</w:t>
            </w:r>
          </w:p>
        </w:tc>
      </w:tr>
      <w:tr>
        <w:trPr>
          <w:trHeight w:val="20"/>
        </w:trPr>
        <w:tc>
          <w:tcPr>
            <w:tcW w:w="224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r>
      <w:tr>
        <w:trPr>
          <w:trHeight w:val="264"/>
        </w:trPr>
        <w:tc>
          <w:tcPr>
            <w:tcW w:w="2240" w:type="dxa"/>
            <w:vAlign w:val="bottom"/>
            <w:tcBorders>
              <w:left w:val="single" w:sz="8" w:color="auto"/>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2120" w:type="dxa"/>
            <w:vAlign w:val="bottom"/>
            <w:tcBorders>
              <w:bottom w:val="single" w:sz="8" w:color="auto"/>
              <w:right w:val="single" w:sz="8" w:color="auto"/>
            </w:tcBorders>
          </w:tcPr>
          <w:p>
            <w:pPr>
              <w:spacing w:after="0"/>
              <w:rPr>
                <w:sz w:val="22"/>
                <w:szCs w:val="22"/>
                <w:color w:val="auto"/>
              </w:rPr>
            </w:pPr>
          </w:p>
        </w:tc>
      </w:tr>
      <w:tr>
        <w:trPr>
          <w:trHeight w:val="263"/>
        </w:trPr>
        <w:tc>
          <w:tcPr>
            <w:tcW w:w="2240" w:type="dxa"/>
            <w:vAlign w:val="bottom"/>
            <w:tcBorders>
              <w:left w:val="single" w:sz="8" w:color="auto"/>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2120" w:type="dxa"/>
            <w:vAlign w:val="bottom"/>
            <w:tcBorders>
              <w:bottom w:val="single" w:sz="8" w:color="auto"/>
              <w:right w:val="single" w:sz="8" w:color="auto"/>
            </w:tcBorders>
          </w:tcPr>
          <w:p>
            <w:pPr>
              <w:spacing w:after="0"/>
              <w:rPr>
                <w:sz w:val="22"/>
                <w:szCs w:val="22"/>
                <w:color w:val="auto"/>
              </w:rPr>
            </w:pPr>
          </w:p>
        </w:tc>
      </w:tr>
      <w:tr>
        <w:trPr>
          <w:trHeight w:val="263"/>
        </w:trPr>
        <w:tc>
          <w:tcPr>
            <w:tcW w:w="2240" w:type="dxa"/>
            <w:vAlign w:val="bottom"/>
            <w:tcBorders>
              <w:left w:val="single" w:sz="8" w:color="auto"/>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2120" w:type="dxa"/>
            <w:vAlign w:val="bottom"/>
            <w:tcBorders>
              <w:bottom w:val="single" w:sz="8" w:color="auto"/>
              <w:right w:val="single" w:sz="8" w:color="auto"/>
            </w:tcBorders>
          </w:tcPr>
          <w:p>
            <w:pPr>
              <w:spacing w:after="0"/>
              <w:rPr>
                <w:sz w:val="22"/>
                <w:szCs w:val="22"/>
                <w:color w:val="auto"/>
              </w:rPr>
            </w:pPr>
          </w:p>
        </w:tc>
      </w:tr>
      <w:tr>
        <w:trPr>
          <w:trHeight w:val="264"/>
        </w:trPr>
        <w:tc>
          <w:tcPr>
            <w:tcW w:w="2240" w:type="dxa"/>
            <w:vAlign w:val="bottom"/>
            <w:tcBorders>
              <w:left w:val="single" w:sz="8" w:color="auto"/>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212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2" w:name="page223"/>
    <w:bookmarkEnd w:id="222"/>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Exhibit B to General Assignment</w:t>
      </w:r>
    </w:p>
    <w:p>
      <w:pPr>
        <w:spacing w:after="0" w:line="2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List of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09" w:right="1440"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180" w:type="dxa"/>
            <w:vAlign w:val="bottom"/>
            <w:gridSpan w:val="2"/>
          </w:tcPr>
          <w:p>
            <w:pPr>
              <w:jc w:val="center"/>
              <w:ind w:right="1140"/>
              <w:spacing w:after="0"/>
              <w:rPr>
                <w:sz w:val="20"/>
                <w:szCs w:val="20"/>
                <w:color w:val="auto"/>
              </w:rPr>
            </w:pPr>
            <w:r>
              <w:rPr>
                <w:rFonts w:ascii="Times New Roman" w:cs="Times New Roman" w:eastAsia="Times New Roman" w:hAnsi="Times New Roman"/>
                <w:sz w:val="20"/>
                <w:szCs w:val="20"/>
                <w:b w:val="1"/>
                <w:bCs w:val="1"/>
                <w:color w:val="auto"/>
                <w:w w:val="98"/>
              </w:rPr>
              <w:t>EXHIBIT D</w:t>
            </w:r>
          </w:p>
        </w:tc>
      </w:tr>
      <w:tr>
        <w:trPr>
          <w:trHeight w:val="20"/>
        </w:trPr>
        <w:tc>
          <w:tcPr>
            <w:tcW w:w="16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72"/>
        </w:trPr>
        <w:tc>
          <w:tcPr>
            <w:tcW w:w="1620" w:type="dxa"/>
            <w:vAlign w:val="bottom"/>
          </w:tcPr>
          <w:p>
            <w:pPr>
              <w:spacing w:after="0"/>
              <w:rPr>
                <w:sz w:val="24"/>
                <w:szCs w:val="24"/>
                <w:color w:val="auto"/>
              </w:rPr>
            </w:pPr>
          </w:p>
        </w:tc>
        <w:tc>
          <w:tcPr>
            <w:tcW w:w="5660" w:type="dxa"/>
            <w:vAlign w:val="bottom"/>
            <w:gridSpan w:val="3"/>
          </w:tcPr>
          <w:p>
            <w:pPr>
              <w:jc w:val="center"/>
              <w:ind w:left="2241"/>
              <w:spacing w:after="0"/>
              <w:rPr>
                <w:sz w:val="20"/>
                <w:szCs w:val="20"/>
                <w:color w:val="auto"/>
              </w:rPr>
            </w:pPr>
            <w:r>
              <w:rPr>
                <w:rFonts w:ascii="Times New Roman" w:cs="Times New Roman" w:eastAsia="Times New Roman" w:hAnsi="Times New Roman"/>
                <w:sz w:val="20"/>
                <w:szCs w:val="20"/>
                <w:b w:val="1"/>
                <w:bCs w:val="1"/>
                <w:color w:val="auto"/>
                <w:w w:val="98"/>
              </w:rPr>
              <w:t>TENANT ESTOPPEL CERTIFICATE</w:t>
            </w:r>
          </w:p>
        </w:tc>
      </w:tr>
      <w:tr>
        <w:trPr>
          <w:trHeight w:val="445"/>
        </w:trPr>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b w:val="1"/>
                <w:bCs w:val="1"/>
                <w:color w:val="auto"/>
              </w:rPr>
              <w:t>[</w:t>
            </w:r>
          </w:p>
        </w:tc>
        <w:tc>
          <w:tcPr>
            <w:tcW w:w="5660" w:type="dxa"/>
            <w:vAlign w:val="bottom"/>
            <w:gridSpan w:val="3"/>
          </w:tcPr>
          <w:p>
            <w:pPr>
              <w:ind w:left="1160"/>
              <w:spacing w:after="0"/>
              <w:rPr>
                <w:sz w:val="20"/>
                <w:szCs w:val="20"/>
                <w:color w:val="auto"/>
              </w:rPr>
            </w:pPr>
            <w:r>
              <w:rPr>
                <w:rFonts w:ascii="Times New Roman" w:cs="Times New Roman" w:eastAsia="Times New Roman" w:hAnsi="Times New Roman"/>
                <w:sz w:val="20"/>
                <w:szCs w:val="20"/>
                <w:b w:val="1"/>
                <w:bCs w:val="1"/>
                <w:color w:val="auto"/>
              </w:rPr>
              <w:t>] (the “Property”)</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undersigned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 certifies that with respect to the lease (the “</w:t>
      </w:r>
      <w:r>
        <w:rPr>
          <w:rFonts w:ascii="Times New Roman" w:cs="Times New Roman" w:eastAsia="Times New Roman" w:hAnsi="Times New Roman"/>
          <w:sz w:val="20"/>
          <w:szCs w:val="20"/>
          <w:b w:val="1"/>
          <w:bCs w:val="1"/>
          <w:color w:val="auto"/>
        </w:rPr>
        <w:t>Lease</w:t>
      </w:r>
      <w:r>
        <w:rPr>
          <w:rFonts w:ascii="Times New Roman" w:cs="Times New Roman" w:eastAsia="Times New Roman" w:hAnsi="Times New Roman"/>
          <w:sz w:val="20"/>
          <w:szCs w:val="20"/>
          <w:color w:val="auto"/>
        </w:rPr>
        <w:t>”) more particularly described in the attached</w:t>
      </w:r>
    </w:p>
    <w:p>
      <w:pPr>
        <w:spacing w:after="0"/>
        <w:rPr>
          <w:sz w:val="20"/>
          <w:szCs w:val="20"/>
          <w:color w:val="auto"/>
        </w:rPr>
      </w:pPr>
      <w:r>
        <w:rPr>
          <w:rFonts w:ascii="Times New Roman" w:cs="Times New Roman" w:eastAsia="Times New Roman" w:hAnsi="Times New Roman"/>
          <w:sz w:val="20"/>
          <w:szCs w:val="20"/>
          <w:color w:val="auto"/>
        </w:rPr>
        <w:t>Schedule “A” which is hereby incorporated (the “</w:t>
      </w:r>
      <w:r>
        <w:rPr>
          <w:rFonts w:ascii="Times New Roman" w:cs="Times New Roman" w:eastAsia="Times New Roman" w:hAnsi="Times New Roman"/>
          <w:sz w:val="20"/>
          <w:szCs w:val="20"/>
          <w:b w:val="1"/>
          <w:bCs w:val="1"/>
          <w:color w:val="auto"/>
        </w:rPr>
        <w:t>Schedule</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1160" w:hanging="403"/>
        <w:spacing w:after="0"/>
        <w:tabs>
          <w:tab w:leader="none" w:pos="116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is the tenant under the Lease;</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summary of the terms of the Lease contained in the Schedule is true and correct;</w:t>
      </w:r>
    </w:p>
    <w:p>
      <w:pPr>
        <w:spacing w:after="0" w:line="211"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has accepted possession of the premises (the “</w:t>
      </w:r>
      <w:r>
        <w:rPr>
          <w:rFonts w:ascii="Times New Roman" w:cs="Times New Roman" w:eastAsia="Times New Roman" w:hAnsi="Times New Roman"/>
          <w:sz w:val="20"/>
          <w:szCs w:val="20"/>
          <w:b w:val="1"/>
          <w:bCs w:val="1"/>
          <w:color w:val="auto"/>
        </w:rPr>
        <w:t>Premises</w:t>
      </w:r>
      <w:r>
        <w:rPr>
          <w:rFonts w:ascii="Times New Roman" w:cs="Times New Roman" w:eastAsia="Times New Roman" w:hAnsi="Times New Roman"/>
          <w:sz w:val="20"/>
          <w:szCs w:val="20"/>
          <w:color w:val="auto"/>
        </w:rPr>
        <w:t>”) under the Lease;</w:t>
      </w:r>
    </w:p>
    <w:p>
      <w:pPr>
        <w:spacing w:after="0" w:line="21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rent abatements or free rent periods now or in the future other than as may be set forth on the Schedule;</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is in full force and effect and, except as may be indicated on the Schedule, has not been assigned, modified, supplemented or amended in any way and Tenant has no notice of any assignment, pledge or hypothecation by the landlord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under the Lease or of the rentals thereunder;</w:t>
      </w:r>
    </w:p>
    <w:p>
      <w:pPr>
        <w:spacing w:after="0" w:line="17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represents the entire agreement between Tenant and Landlord with respect to the Premises;</w:t>
      </w:r>
    </w:p>
    <w:p>
      <w:pPr>
        <w:spacing w:after="0" w:line="215"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construction and other obligations of a material nature to be performed by Landlord have been satisfied, except as may be indicated on the Schedule;</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payments by Landlord to Tenant for tenant improvements which are required under the Lease have been made, except as may be indicated on the Schedule;</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this date, there are no existing defenses or offsets which Tenant has against the enforcement of the Lease by Landlord and Tenant has no knowledge of any event which with the giving of notice, the passage of time or both would constitute a default by Tenant, or to the best of Tenant’s knowledge, a default by Landlord, under the Lease;</w:t>
      </w:r>
    </w:p>
    <w:p>
      <w:pPr>
        <w:spacing w:after="0" w:line="174"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is not entitled to any offsets, abatements, deductions or otherwise against the rent payable under the Lease from and after the date hereof, except as may be indicated on the Schedule;</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rent (including expense reimbursements), other than for the current month, has been paid in advance, except as may be indicated on the Schedule;</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has not filed on its behalf, nor to Tenant’s knowledge, has any party initiated against Tenant, proceedings for relief under bankruptcy, insolvency, or other proceedings;</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has no purchase, extension, expansion, rights of first offer, rights of first refusal, exclusives, right to lease other premises, or rights to have Landlord perform Tenant’s obligations under leases of other premises, except as may be indicated on the Schedule; and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24" w:name="page225"/>
    <w:bookmarkEnd w:id="224"/>
    <w:p>
      <w:pPr>
        <w:ind w:right="160" w:firstLine="404"/>
        <w:spacing w:after="0" w:line="254" w:lineRule="auto"/>
        <w:tabs>
          <w:tab w:leader="none" w:pos="791"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has no termination options (except for standard termination options in connection with a casualty or condemnation), rights of first refusal, options to purchase or other interest in or claim to the Property, or any part thereof, except as may be indicated on the Schedule.</w:t>
      </w:r>
    </w:p>
    <w:p>
      <w:pPr>
        <w:spacing w:after="0" w:line="6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Tenant hereby agrees that this Tenant Estoppel Certificate may be executed and delivered by electronic means, and that any electronic signature (including, without limitation, any signature via Adobe Sign, DocuSign or other widely accepted electronic signature platform) of Tenant is intended to authenticate this writing and to have the same legal force and effect, validity and enforceability as a manually executed signature, physical delivery thereof or the use of 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spacing w:after="0" w:line="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truth and accuracy of the certifications contained herein may be relied upon by (i) Landlord, (ii) any purchaser of the Property (“</w:t>
      </w:r>
      <w:r>
        <w:rPr>
          <w:rFonts w:ascii="Times New Roman" w:cs="Times New Roman" w:eastAsia="Times New Roman" w:hAnsi="Times New Roman"/>
          <w:sz w:val="20"/>
          <w:szCs w:val="20"/>
          <w:b w:val="1"/>
          <w:bCs w:val="1"/>
          <w:color w:val="auto"/>
        </w:rPr>
        <w:t>Purchaser</w:t>
      </w:r>
      <w:r>
        <w:rPr>
          <w:rFonts w:ascii="Times New Roman" w:cs="Times New Roman" w:eastAsia="Times New Roman" w:hAnsi="Times New Roman"/>
          <w:sz w:val="20"/>
          <w:szCs w:val="20"/>
          <w:color w:val="auto"/>
        </w:rPr>
        <w:t>”), (iii) each lender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of Landlord or Purchaser (or any of their respective direct or indirect owners), and its successors, participants, assigns and transferees, (iv) any rating agency or trustee involved in a securitization of one or more loans made by a Lender, and (v) any servicer of any such loan (collectively, the “</w:t>
      </w:r>
      <w:r>
        <w:rPr>
          <w:rFonts w:ascii="Times New Roman" w:cs="Times New Roman" w:eastAsia="Times New Roman" w:hAnsi="Times New Roman"/>
          <w:sz w:val="20"/>
          <w:szCs w:val="20"/>
          <w:b w:val="1"/>
          <w:bCs w:val="1"/>
          <w:color w:val="auto"/>
        </w:rPr>
        <w:t>Reliance Parties</w:t>
      </w:r>
      <w:r>
        <w:rPr>
          <w:rFonts w:ascii="Times New Roman" w:cs="Times New Roman" w:eastAsia="Times New Roman" w:hAnsi="Times New Roman"/>
          <w:sz w:val="20"/>
          <w:szCs w:val="20"/>
          <w:color w:val="auto"/>
        </w:rPr>
        <w:t>”), and said certifications shall be binding upon Tenant and its successors and assigns, and inure to the benefit of the Reliance Parties.</w:t>
      </w:r>
    </w:p>
    <w:p>
      <w:pPr>
        <w:spacing w:after="0" w:line="3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[__________________________________]</w:t>
      </w:r>
    </w:p>
    <w:p>
      <w:pPr>
        <w:spacing w:after="0" w:line="2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By: ________________________________</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Name: _____________________________</w:t>
      </w:r>
    </w:p>
    <w:p>
      <w:pPr>
        <w:ind w:left="5240"/>
        <w:spacing w:after="0"/>
        <w:rPr>
          <w:sz w:val="20"/>
          <w:szCs w:val="20"/>
          <w:color w:val="auto"/>
        </w:rPr>
      </w:pPr>
      <w:r>
        <w:rPr>
          <w:rFonts w:ascii="Times New Roman" w:cs="Times New Roman" w:eastAsia="Times New Roman" w:hAnsi="Times New Roman"/>
          <w:sz w:val="20"/>
          <w:szCs w:val="20"/>
          <w:color w:val="auto"/>
        </w:rPr>
        <w:t>Title: ______________________________</w:t>
      </w:r>
    </w:p>
    <w:p>
      <w:pPr>
        <w:ind w:left="5240"/>
        <w:spacing w:after="0"/>
        <w:rPr>
          <w:sz w:val="20"/>
          <w:szCs w:val="20"/>
          <w:color w:val="auto"/>
        </w:rPr>
      </w:pPr>
      <w:r>
        <w:rPr>
          <w:rFonts w:ascii="Times New Roman" w:cs="Times New Roman" w:eastAsia="Times New Roman" w:hAnsi="Times New Roman"/>
          <w:sz w:val="20"/>
          <w:szCs w:val="20"/>
          <w:color w:val="auto"/>
        </w:rPr>
        <w:t>Date: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5" w:name="page226"/>
    <w:bookmarkEnd w:id="225"/>
    <w:p>
      <w:pPr>
        <w:ind w:left="3280"/>
        <w:spacing w:after="0"/>
        <w:rPr>
          <w:sz w:val="20"/>
          <w:szCs w:val="20"/>
          <w:color w:val="auto"/>
        </w:rPr>
      </w:pPr>
      <w:r>
        <w:rPr>
          <w:rFonts w:ascii="Times New Roman" w:cs="Times New Roman" w:eastAsia="Times New Roman" w:hAnsi="Times New Roman"/>
          <w:sz w:val="20"/>
          <w:szCs w:val="20"/>
          <w:u w:val="single" w:color="auto"/>
          <w:color w:val="auto"/>
        </w:rPr>
        <w:t>SCHEDULE A TO TENANT ESTOPPEL CERTIFICATE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Summary of Lease Terms: [PID#]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w:t>
            </w:r>
          </w:p>
        </w:tc>
        <w:tc>
          <w:tcPr>
            <w:tcW w:w="16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 of Tenant: [</w:t>
            </w:r>
          </w:p>
        </w:tc>
        <w:tc>
          <w:tcPr>
            <w:tcW w:w="1140" w:type="dxa"/>
            <w:vAlign w:val="bottom"/>
          </w:tcPr>
          <w:p>
            <w:pPr>
              <w:jc w:val="right"/>
              <w:ind w:right="901"/>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r>
      <w:tr>
        <w:trPr>
          <w:trHeight w:val="445"/>
        </w:trPr>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Original Lease Sign Date: [  ]</w:t>
            </w:r>
          </w:p>
        </w:tc>
        <w:tc>
          <w:tcPr>
            <w:tcW w:w="260" w:type="dxa"/>
            <w:vAlign w:val="bottom"/>
          </w:tcPr>
          <w:p>
            <w:pPr>
              <w:spacing w:after="0"/>
              <w:rPr>
                <w:sz w:val="24"/>
                <w:szCs w:val="24"/>
                <w:color w:val="auto"/>
              </w:rPr>
            </w:pPr>
          </w:p>
        </w:tc>
      </w:tr>
      <w:tr>
        <w:trPr>
          <w:trHeight w:val="446"/>
        </w:trPr>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(3)</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Lease Commencement Date: [</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445"/>
        </w:trPr>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(4)</w:t>
            </w:r>
          </w:p>
        </w:tc>
        <w:tc>
          <w:tcPr>
            <w:tcW w:w="16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Premises:[</w:t>
            </w: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r>
    </w:tbl>
    <w:p>
      <w:pPr>
        <w:spacing w:after="0" w:line="18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(5)</w:t>
      </w:r>
      <w:r>
        <w:rPr>
          <w:sz w:val="20"/>
          <w:szCs w:val="20"/>
          <w:color w:val="auto"/>
        </w:rPr>
        <w:tab/>
      </w:r>
      <w:r>
        <w:rPr>
          <w:rFonts w:ascii="Times New Roman" w:cs="Times New Roman" w:eastAsia="Times New Roman" w:hAnsi="Times New Roman"/>
          <w:sz w:val="19"/>
          <w:szCs w:val="19"/>
          <w:color w:val="auto"/>
        </w:rPr>
        <w:t>Amendment Dates, Separate Agreements,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3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Square Footage: [  ]</w:t>
            </w:r>
          </w:p>
        </w:tc>
        <w:tc>
          <w:tcPr>
            <w:tcW w:w="218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445"/>
        </w:trPr>
        <w:tc>
          <w:tcPr>
            <w:tcW w:w="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4"/>
              </w:rPr>
              <w:t>(7)</w:t>
            </w:r>
          </w:p>
        </w:tc>
        <w:tc>
          <w:tcPr>
            <w:tcW w:w="23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Current Lease Expiration: [</w:t>
            </w:r>
          </w:p>
        </w:tc>
        <w:tc>
          <w:tcPr>
            <w:tcW w:w="2180" w:type="dxa"/>
            <w:vAlign w:val="bottom"/>
          </w:tcPr>
          <w:p>
            <w:pPr>
              <w:jc w:val="right"/>
              <w:ind w:right="1861"/>
              <w:spacing w:after="0"/>
              <w:rPr>
                <w:sz w:val="20"/>
                <w:szCs w:val="20"/>
                <w:color w:val="auto"/>
              </w:rPr>
            </w:pPr>
            <w:r>
              <w:rPr>
                <w:rFonts w:ascii="Times New Roman" w:cs="Times New Roman" w:eastAsia="Times New Roman" w:hAnsi="Times New Roman"/>
                <w:sz w:val="20"/>
                <w:szCs w:val="20"/>
                <w:color w:val="auto"/>
              </w:rPr>
              <w:t>]</w:t>
            </w:r>
          </w:p>
        </w:tc>
        <w:tc>
          <w:tcPr>
            <w:tcW w:w="3020" w:type="dxa"/>
            <w:vAlign w:val="bottom"/>
          </w:tcPr>
          <w:p>
            <w:pPr>
              <w:spacing w:after="0"/>
              <w:rPr>
                <w:sz w:val="24"/>
                <w:szCs w:val="24"/>
                <w:color w:val="auto"/>
              </w:rPr>
            </w:pPr>
          </w:p>
        </w:tc>
      </w:tr>
      <w:tr>
        <w:trPr>
          <w:trHeight w:val="436"/>
        </w:trPr>
        <w:tc>
          <w:tcPr>
            <w:tcW w:w="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4"/>
              </w:rPr>
              <w:t>(8)</w:t>
            </w:r>
          </w:p>
        </w:tc>
        <w:tc>
          <w:tcPr>
            <w:tcW w:w="52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r>
        <w:trPr>
          <w:trHeight w:val="263"/>
        </w:trPr>
        <w:tc>
          <w:tcPr>
            <w:tcW w:w="340" w:type="dxa"/>
            <w:vAlign w:val="bottom"/>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404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Current Monthly Base Rent:</w:t>
            </w:r>
          </w:p>
        </w:tc>
        <w:tc>
          <w:tcPr>
            <w:tcW w:w="3020" w:type="dxa"/>
            <w:vAlign w:val="bottom"/>
            <w:tcBorders>
              <w:bottom w:val="single" w:sz="8" w:color="auto"/>
              <w:right w:val="single" w:sz="8" w:color="auto"/>
            </w:tcBorders>
          </w:tcPr>
          <w:p>
            <w:pPr>
              <w:spacing w:after="0"/>
              <w:rPr>
                <w:sz w:val="22"/>
                <w:szCs w:val="22"/>
                <w:color w:val="auto"/>
              </w:rPr>
            </w:pPr>
          </w:p>
        </w:tc>
      </w:tr>
      <w:tr>
        <w:trPr>
          <w:trHeight w:val="267"/>
        </w:trPr>
        <w:tc>
          <w:tcPr>
            <w:tcW w:w="34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404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Current Monthly Expense Reimbursement:</w:t>
            </w:r>
          </w:p>
        </w:tc>
        <w:tc>
          <w:tcPr>
            <w:tcW w:w="3020" w:type="dxa"/>
            <w:vAlign w:val="bottom"/>
            <w:tcBorders>
              <w:bottom w:val="single" w:sz="8" w:color="auto"/>
              <w:right w:val="single" w:sz="8" w:color="auto"/>
            </w:tcBorders>
          </w:tcPr>
          <w:p>
            <w:pPr>
              <w:spacing w:after="0"/>
              <w:rPr>
                <w:sz w:val="23"/>
                <w:szCs w:val="23"/>
                <w:color w:val="auto"/>
              </w:rPr>
            </w:pPr>
          </w:p>
        </w:tc>
      </w:tr>
      <w:tr>
        <w:trPr>
          <w:trHeight w:val="241"/>
        </w:trPr>
        <w:tc>
          <w:tcPr>
            <w:tcW w:w="3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40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Other Current Monthly Rent Not Otherwise</w:t>
            </w:r>
          </w:p>
        </w:tc>
        <w:tc>
          <w:tcPr>
            <w:tcW w:w="3020" w:type="dxa"/>
            <w:vAlign w:val="bottom"/>
            <w:tcBorders>
              <w:right w:val="single" w:sz="8" w:color="auto"/>
            </w:tcBorders>
          </w:tcPr>
          <w:p>
            <w:pPr>
              <w:spacing w:after="0"/>
              <w:rPr>
                <w:sz w:val="20"/>
                <w:szCs w:val="20"/>
                <w:color w:val="auto"/>
              </w:rPr>
            </w:pPr>
          </w:p>
        </w:tc>
      </w:tr>
      <w:tr>
        <w:trPr>
          <w:trHeight w:val="252"/>
        </w:trPr>
        <w:tc>
          <w:tcPr>
            <w:tcW w:w="34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1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Identified Above:</w:t>
            </w:r>
          </w:p>
        </w:tc>
        <w:tc>
          <w:tcPr>
            <w:tcW w:w="2180" w:type="dxa"/>
            <w:vAlign w:val="bottom"/>
            <w:tcBorders>
              <w:bottom w:val="single" w:sz="8" w:color="auto"/>
              <w:right w:val="single" w:sz="8" w:color="auto"/>
            </w:tcBorders>
          </w:tcPr>
          <w:p>
            <w:pPr>
              <w:spacing w:after="0"/>
              <w:rPr>
                <w:sz w:val="21"/>
                <w:szCs w:val="21"/>
                <w:color w:val="auto"/>
              </w:rPr>
            </w:pPr>
          </w:p>
        </w:tc>
        <w:tc>
          <w:tcPr>
            <w:tcW w:w="3020" w:type="dxa"/>
            <w:vAlign w:val="bottom"/>
            <w:tcBorders>
              <w:bottom w:val="single" w:sz="8" w:color="auto"/>
              <w:right w:val="single" w:sz="8" w:color="auto"/>
            </w:tcBorders>
          </w:tcPr>
          <w:p>
            <w:pPr>
              <w:spacing w:after="0"/>
              <w:rPr>
                <w:sz w:val="21"/>
                <w:szCs w:val="21"/>
                <w:color w:val="auto"/>
              </w:rPr>
            </w:pPr>
          </w:p>
        </w:tc>
      </w:tr>
      <w:tr>
        <w:trPr>
          <w:trHeight w:val="263"/>
        </w:trPr>
        <w:tc>
          <w:tcPr>
            <w:tcW w:w="340" w:type="dxa"/>
            <w:vAlign w:val="bottom"/>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404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Current Total Monthly Rent:</w:t>
            </w:r>
          </w:p>
        </w:tc>
        <w:tc>
          <w:tcPr>
            <w:tcW w:w="3020" w:type="dxa"/>
            <w:vAlign w:val="bottom"/>
            <w:tcBorders>
              <w:bottom w:val="single" w:sz="8" w:color="auto"/>
              <w:right w:val="single" w:sz="8" w:color="auto"/>
            </w:tcBorders>
          </w:tcPr>
          <w:p>
            <w:pPr>
              <w:spacing w:after="0"/>
              <w:rPr>
                <w:sz w:val="22"/>
                <w:szCs w:val="22"/>
                <w:color w:val="auto"/>
              </w:rPr>
            </w:pPr>
          </w:p>
        </w:tc>
      </w:tr>
      <w:tr>
        <w:trPr>
          <w:trHeight w:val="263"/>
        </w:trPr>
        <w:tc>
          <w:tcPr>
            <w:tcW w:w="340" w:type="dxa"/>
            <w:vAlign w:val="bottom"/>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1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Rent Abatement:</w:t>
            </w:r>
          </w:p>
        </w:tc>
        <w:tc>
          <w:tcPr>
            <w:tcW w:w="2180" w:type="dxa"/>
            <w:vAlign w:val="bottom"/>
            <w:tcBorders>
              <w:bottom w:val="single" w:sz="8" w:color="auto"/>
              <w:right w:val="single" w:sz="8" w:color="auto"/>
            </w:tcBorders>
          </w:tcPr>
          <w:p>
            <w:pPr>
              <w:spacing w:after="0"/>
              <w:rPr>
                <w:sz w:val="22"/>
                <w:szCs w:val="22"/>
                <w:color w:val="auto"/>
              </w:rPr>
            </w:pPr>
          </w:p>
        </w:tc>
        <w:tc>
          <w:tcPr>
            <w:tcW w:w="302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23" w:lineRule="exact"/>
        <w:rPr>
          <w:sz w:val="20"/>
          <w:szCs w:val="20"/>
          <w:color w:val="auto"/>
        </w:rPr>
      </w:pPr>
    </w:p>
    <w:p>
      <w:pPr>
        <w:ind w:left="400" w:hanging="392"/>
        <w:spacing w:after="0"/>
        <w:tabs>
          <w:tab w:leader="none" w:pos="40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Deposit:</w:t>
      </w:r>
    </w:p>
    <w:p>
      <w:pPr>
        <w:spacing w:after="0" w:line="215"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 of Credit:</w:t>
      </w:r>
    </w:p>
    <w:p>
      <w:pPr>
        <w:spacing w:after="0" w:line="215"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Assignees/Subtenants: ________________ (List N/A if none)</w:t>
      </w:r>
    </w:p>
    <w:p>
      <w:pPr>
        <w:spacing w:after="0" w:line="215"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 Guarantor(s): ____________________________</w:t>
      </w:r>
    </w:p>
    <w:p>
      <w:pPr>
        <w:spacing w:after="0" w:line="215" w:lineRule="exact"/>
        <w:rPr>
          <w:rFonts w:ascii="Times New Roman" w:cs="Times New Roman" w:eastAsia="Times New Roman" w:hAnsi="Times New Roman"/>
          <w:sz w:val="20"/>
          <w:szCs w:val="20"/>
          <w:color w:val="auto"/>
        </w:rPr>
      </w:pPr>
    </w:p>
    <w:p>
      <w:pPr>
        <w:ind w:left="800" w:hanging="792"/>
        <w:spacing w:after="0"/>
        <w:tabs>
          <w:tab w:leader="none" w:pos="80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Improvement Allowance Balance: _____________</w:t>
      </w:r>
    </w:p>
    <w:p>
      <w:pPr>
        <w:spacing w:after="0" w:line="215" w:lineRule="exact"/>
        <w:rPr>
          <w:rFonts w:ascii="Times New Roman" w:cs="Times New Roman" w:eastAsia="Times New Roman" w:hAnsi="Times New Roman"/>
          <w:sz w:val="20"/>
          <w:szCs w:val="20"/>
          <w:color w:val="auto"/>
        </w:rPr>
      </w:pPr>
    </w:p>
    <w:p>
      <w:pPr>
        <w:ind w:left="540" w:hanging="532"/>
        <w:spacing w:after="0"/>
        <w:tabs>
          <w:tab w:leader="none" w:pos="5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Options:</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Renewal Option:</w:t>
      </w:r>
    </w:p>
    <w:p>
      <w:pPr>
        <w:spacing w:after="0" w:line="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ROFO:</w:t>
      </w:r>
    </w:p>
    <w:p>
      <w:pPr>
        <w:ind w:left="760"/>
        <w:spacing w:after="0"/>
        <w:rPr>
          <w:sz w:val="20"/>
          <w:szCs w:val="20"/>
          <w:color w:val="auto"/>
        </w:rPr>
      </w:pPr>
      <w:r>
        <w:rPr>
          <w:rFonts w:ascii="Times New Roman" w:cs="Times New Roman" w:eastAsia="Times New Roman" w:hAnsi="Times New Roman"/>
          <w:sz w:val="20"/>
          <w:szCs w:val="20"/>
          <w:color w:val="auto"/>
        </w:rPr>
        <w:t>ROFR:</w:t>
      </w:r>
    </w:p>
    <w:p>
      <w:pPr>
        <w:ind w:left="760"/>
        <w:spacing w:after="0"/>
        <w:rPr>
          <w:sz w:val="20"/>
          <w:szCs w:val="20"/>
          <w:color w:val="auto"/>
        </w:rPr>
      </w:pPr>
      <w:r>
        <w:rPr>
          <w:rFonts w:ascii="Times New Roman" w:cs="Times New Roman" w:eastAsia="Times New Roman" w:hAnsi="Times New Roman"/>
          <w:sz w:val="20"/>
          <w:szCs w:val="20"/>
          <w:color w:val="auto"/>
        </w:rPr>
        <w:t>Termination:</w:t>
      </w:r>
    </w:p>
    <w:p>
      <w:pPr>
        <w:ind w:left="760"/>
        <w:spacing w:after="0"/>
        <w:rPr>
          <w:sz w:val="20"/>
          <w:szCs w:val="20"/>
          <w:color w:val="auto"/>
        </w:rPr>
      </w:pPr>
      <w:r>
        <w:rPr>
          <w:rFonts w:ascii="Times New Roman" w:cs="Times New Roman" w:eastAsia="Times New Roman" w:hAnsi="Times New Roman"/>
          <w:sz w:val="20"/>
          <w:szCs w:val="20"/>
          <w:color w:val="auto"/>
        </w:rPr>
        <w:t>Expansion:</w:t>
      </w:r>
    </w:p>
    <w:p>
      <w:pPr>
        <w:ind w:left="760"/>
        <w:spacing w:after="0"/>
        <w:rPr>
          <w:sz w:val="20"/>
          <w:szCs w:val="20"/>
          <w:color w:val="auto"/>
        </w:rPr>
      </w:pPr>
      <w:r>
        <w:rPr>
          <w:rFonts w:ascii="Times New Roman" w:cs="Times New Roman" w:eastAsia="Times New Roman" w:hAnsi="Times New Roman"/>
          <w:sz w:val="20"/>
          <w:szCs w:val="20"/>
          <w:color w:val="auto"/>
        </w:rPr>
        <w:t>Contraction:</w:t>
      </w: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26" w:name="page227"/>
    <w:bookmarkEnd w:id="226"/>
    <w:p>
      <w:pPr>
        <w:ind w:left="720"/>
        <w:spacing w:after="0"/>
        <w:rPr>
          <w:sz w:val="20"/>
          <w:szCs w:val="20"/>
          <w:color w:val="auto"/>
        </w:rPr>
      </w:pPr>
      <w:r>
        <w:rPr>
          <w:rFonts w:ascii="Times New Roman" w:cs="Times New Roman" w:eastAsia="Times New Roman" w:hAnsi="Times New Roman"/>
          <w:sz w:val="20"/>
          <w:szCs w:val="20"/>
          <w:color w:val="auto"/>
        </w:rPr>
        <w:t>Purchase Option: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13" w:right="1440"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FORM OF SELLER ESTOPPEL CERTIFICATE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NOTE</w:t>
      </w:r>
      <w:r>
        <w:rPr>
          <w:rFonts w:ascii="Times New Roman" w:cs="Times New Roman" w:eastAsia="Times New Roman" w:hAnsi="Times New Roman"/>
          <w:sz w:val="20"/>
          <w:szCs w:val="20"/>
          <w:b w:val="1"/>
          <w:bCs w:val="1"/>
          <w:color w:val="auto"/>
        </w:rPr>
        <w:t>: INSERT NAME OF BUYER]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_________________________ (“</w:t>
      </w:r>
      <w:r>
        <w:rPr>
          <w:rFonts w:ascii="Times New Roman" w:cs="Times New Roman" w:eastAsia="Times New Roman" w:hAnsi="Times New Roman"/>
          <w:sz w:val="20"/>
          <w:szCs w:val="20"/>
          <w:b w:val="1"/>
          <w:bCs w:val="1"/>
          <w:u w:val="single" w:color="auto"/>
          <w:color w:val="auto"/>
        </w:rPr>
        <w:t>Seller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u w:val="single" w:color="auto"/>
          <w:color w:val="auto"/>
        </w:rPr>
        <w:t>Landlord</w:t>
      </w:r>
      <w:r>
        <w:rPr>
          <w:rFonts w:ascii="Times New Roman" w:cs="Times New Roman" w:eastAsia="Times New Roman" w:hAnsi="Times New Roman"/>
          <w:sz w:val="20"/>
          <w:szCs w:val="20"/>
          <w:color w:val="auto"/>
        </w:rPr>
        <w:t>”) has this day conveyed to _________________________ (“</w:t>
      </w:r>
      <w:r>
        <w:rPr>
          <w:rFonts w:ascii="Times New Roman" w:cs="Times New Roman" w:eastAsia="Times New Roman" w:hAnsi="Times New Roman"/>
          <w:sz w:val="20"/>
          <w:szCs w:val="20"/>
          <w:b w:val="1"/>
          <w:bCs w:val="1"/>
          <w:u w:val="single" w:color="auto"/>
          <w:color w:val="auto"/>
        </w:rPr>
        <w:t>Buyer</w:t>
      </w:r>
      <w:r>
        <w:rPr>
          <w:rFonts w:ascii="Times New Roman" w:cs="Times New Roman" w:eastAsia="Times New Roman" w:hAnsi="Times New Roman"/>
          <w:sz w:val="20"/>
          <w:szCs w:val="20"/>
          <w:color w:val="auto"/>
        </w:rPr>
        <w:t>”)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described in an AGREEMENT FOR PURCHASE AND SALE OF REAL PROPERTY between Seller and Buyer dated</w:t>
      </w:r>
    </w:p>
    <w:p>
      <w:pPr>
        <w:spacing w:after="0"/>
        <w:rPr>
          <w:sz w:val="20"/>
          <w:szCs w:val="20"/>
          <w:color w:val="auto"/>
        </w:rPr>
      </w:pPr>
      <w:r>
        <w:rPr>
          <w:rFonts w:ascii="Times New Roman" w:cs="Times New Roman" w:eastAsia="Times New Roman" w:hAnsi="Times New Roman"/>
          <w:sz w:val="20"/>
          <w:szCs w:val="20"/>
          <w:color w:val="auto"/>
        </w:rPr>
        <w:t>______________ ___, 2021 (as amended, the “</w:t>
      </w:r>
      <w:r>
        <w:rPr>
          <w:rFonts w:ascii="Times New Roman" w:cs="Times New Roman" w:eastAsia="Times New Roman" w:hAnsi="Times New Roman"/>
          <w:sz w:val="20"/>
          <w:szCs w:val="20"/>
          <w:b w:val="1"/>
          <w:bCs w:val="1"/>
          <w:u w:val="single" w:color="auto"/>
          <w:color w:val="auto"/>
        </w:rPr>
        <w:t>Purchase Agreement</w:t>
      </w:r>
      <w:r>
        <w:rPr>
          <w:rFonts w:ascii="Times New Roman" w:cs="Times New Roman" w:eastAsia="Times New Roman" w:hAnsi="Times New Roman"/>
          <w:sz w:val="20"/>
          <w:szCs w:val="20"/>
          <w:color w:val="auto"/>
        </w:rPr>
        <w:t>”). This Seller Estoppel is delivered by Seller to Buyer pursuant to the</w:t>
      </w:r>
    </w:p>
    <w:p>
      <w:pPr>
        <w:jc w:val="both"/>
        <w:spacing w:after="0" w:line="241" w:lineRule="auto"/>
        <w:rPr>
          <w:sz w:val="20"/>
          <w:szCs w:val="20"/>
          <w:color w:val="auto"/>
        </w:rPr>
      </w:pPr>
      <w:r>
        <w:rPr>
          <w:rFonts w:ascii="Times New Roman" w:cs="Times New Roman" w:eastAsia="Times New Roman" w:hAnsi="Times New Roman"/>
          <w:sz w:val="20"/>
          <w:szCs w:val="20"/>
          <w:color w:val="auto"/>
        </w:rPr>
        <w:t>Purchase Agreement and capitalized terms used herein without definition have the meaning given to them in the Purchase Agreement. Seller’s liability hereunder shall be subject to all time, dollar and other limitations on Seller’s liability set forth in the Purchase Agreement. Whenever a representation herein is qualified by the phrase “to Seller’s knowledge”, or by words of similar import, such knowledge shall be limited as provided in the Purchase Agreement. No officer, director, owner, manager, trustee, or agent of Seller shall have any liability hereunder.</w:t>
      </w:r>
    </w:p>
    <w:p>
      <w:pPr>
        <w:spacing w:after="0" w:line="187"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Subject to the above limitations and Buyer’s Knowledge, and except as set forth in the Purchase Agreement, Seller hereby certifies as follows:</w:t>
      </w:r>
    </w:p>
    <w:p>
      <w:pPr>
        <w:spacing w:after="0" w:line="155" w:lineRule="exact"/>
        <w:rPr>
          <w:sz w:val="20"/>
          <w:szCs w:val="20"/>
          <w:color w:val="auto"/>
        </w:rPr>
      </w:pPr>
    </w:p>
    <w:p>
      <w:pPr>
        <w:jc w:val="both"/>
        <w:ind w:left="760" w:firstLine="745"/>
        <w:spacing w:after="0" w:line="253" w:lineRule="auto"/>
        <w:tabs>
          <w:tab w:leader="none" w:pos="204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NOTE</w:t>
      </w:r>
      <w:r>
        <w:rPr>
          <w:rFonts w:ascii="Times New Roman" w:cs="Times New Roman" w:eastAsia="Times New Roman" w:hAnsi="Times New Roman"/>
          <w:sz w:val="20"/>
          <w:szCs w:val="20"/>
          <w:b w:val="1"/>
          <w:bCs w:val="1"/>
          <w:color w:val="auto"/>
        </w:rPr>
        <w:t xml:space="preserve">: INSERT NAME OF TENANT]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Tenant</w:t>
      </w:r>
      <w:r>
        <w:rPr>
          <w:rFonts w:ascii="Times New Roman" w:cs="Times New Roman" w:eastAsia="Times New Roman" w:hAnsi="Times New Roman"/>
          <w:sz w:val="20"/>
          <w:szCs w:val="20"/>
          <w:color w:val="auto"/>
        </w:rPr>
        <w:t>”) is the current tenant under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NOTE</w:t>
      </w:r>
      <w:r>
        <w:rPr>
          <w:rFonts w:ascii="Times New Roman" w:cs="Times New Roman" w:eastAsia="Times New Roman" w:hAnsi="Times New Roman"/>
          <w:sz w:val="20"/>
          <w:szCs w:val="20"/>
          <w:b w:val="1"/>
          <w:bCs w:val="1"/>
          <w:color w:val="auto"/>
        </w:rPr>
        <w:t xml:space="preserve">: INSERT NAME OF ORIGINAL LEASE]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u w:val="single" w:color="auto"/>
          <w:color w:val="auto"/>
        </w:rPr>
        <w:t>Lease</w:t>
      </w:r>
      <w:r>
        <w:rPr>
          <w:rFonts w:ascii="Times New Roman" w:cs="Times New Roman" w:eastAsia="Times New Roman" w:hAnsi="Times New Roman"/>
          <w:sz w:val="20"/>
          <w:szCs w:val="20"/>
          <w:color w:val="auto"/>
        </w:rPr>
        <w:t>”), currently by and between Seller, as landlord, and Tenant, as tenant, for approximately</w:t>
      </w:r>
    </w:p>
    <w:p>
      <w:pPr>
        <w:ind w:left="760" w:right="2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 rentable square feet (the “</w:t>
      </w:r>
      <w:r>
        <w:rPr>
          <w:rFonts w:ascii="Times New Roman" w:cs="Times New Roman" w:eastAsia="Times New Roman" w:hAnsi="Times New Roman"/>
          <w:sz w:val="20"/>
          <w:szCs w:val="20"/>
          <w:b w:val="1"/>
          <w:bCs w:val="1"/>
          <w:u w:val="single" w:color="auto"/>
          <w:color w:val="auto"/>
        </w:rPr>
        <w:t>Leased Premises</w:t>
      </w:r>
      <w:r>
        <w:rPr>
          <w:rFonts w:ascii="Times New Roman" w:cs="Times New Roman" w:eastAsia="Times New Roman" w:hAnsi="Times New Roman"/>
          <w:sz w:val="20"/>
          <w:szCs w:val="20"/>
          <w:color w:val="auto"/>
        </w:rPr>
        <w:t>”) located at _____________________________ (collectively, the “</w:t>
      </w:r>
      <w:r>
        <w:rPr>
          <w:rFonts w:ascii="Times New Roman" w:cs="Times New Roman" w:eastAsia="Times New Roman" w:hAnsi="Times New Roman"/>
          <w:sz w:val="20"/>
          <w:szCs w:val="20"/>
          <w:b w:val="1"/>
          <w:bCs w:val="1"/>
          <w:u w:val="single" w:color="auto"/>
          <w:color w:val="auto"/>
        </w:rPr>
        <w:t>Building</w:t>
      </w:r>
      <w:r>
        <w:rPr>
          <w:rFonts w:ascii="Times New Roman" w:cs="Times New Roman" w:eastAsia="Times New Roman" w:hAnsi="Times New Roman"/>
          <w:sz w:val="20"/>
          <w:szCs w:val="20"/>
          <w:color w:val="auto"/>
        </w:rPr>
        <w:t>”). All capitalized terms not otherwise defined herein shall have the meanings provided in the Lease.</w:t>
      </w:r>
    </w:p>
    <w:p>
      <w:pPr>
        <w:spacing w:after="0" w:line="18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is in full force and effect.  The Lease has not been amended, modified or supplemented except as</w:t>
      </w:r>
    </w:p>
    <w:p>
      <w:pPr>
        <w:spacing w:after="0" w:line="21" w:lineRule="exact"/>
        <w:rPr>
          <w:rFonts w:ascii="Times New Roman" w:cs="Times New Roman" w:eastAsia="Times New Roman" w:hAnsi="Times New Roman"/>
          <w:sz w:val="20"/>
          <w:szCs w:val="20"/>
          <w:color w:val="auto"/>
        </w:rPr>
      </w:pPr>
    </w:p>
    <w:p>
      <w:pPr>
        <w:ind w:left="76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follows: ___________________________________. There are no other agreements or understandings, whether written or oral, between Tenant and Landlord with respect to the Lease, the Leased Premises or the Building.</w:t>
      </w:r>
    </w:p>
    <w:p>
      <w:pPr>
        <w:spacing w:after="0" w:line="181" w:lineRule="exact"/>
        <w:rPr>
          <w:rFonts w:ascii="Times New Roman" w:cs="Times New Roman" w:eastAsia="Times New Roman" w:hAnsi="Times New Roman"/>
          <w:sz w:val="20"/>
          <w:szCs w:val="20"/>
          <w:color w:val="auto"/>
        </w:rPr>
      </w:pPr>
    </w:p>
    <w:p>
      <w:pPr>
        <w:jc w:val="both"/>
        <w:ind w:left="760" w:firstLine="745"/>
        <w:spacing w:after="0" w:line="250" w:lineRule="auto"/>
        <w:tabs>
          <w:tab w:leader="none" w:pos="204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has accepted possession of and occupies the entire Leased Premises under the Lease. The term of the Lease commenced on ______________ and expires on ________________________, subject to the following renewal options:</w:t>
      </w:r>
    </w:p>
    <w:p>
      <w:pPr>
        <w:spacing w:after="0" w:line="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________________________.</w:t>
      </w:r>
    </w:p>
    <w:p>
      <w:pPr>
        <w:spacing w:after="0" w:line="193"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monthly installment of Rent under the Lease is currently $______. All additional rent, percentage rent, Tenant’s proportionate share of real estate taxes, insurance and operating expenses and all other sums or charges due and payable under the Lease by Tenant have been paid in full and no such rents, additional rents, percentage rents or other sums or charges have been paid for more than one (1) month in advance of the due date thereof.</w:t>
      </w:r>
    </w:p>
    <w:p>
      <w:pPr>
        <w:spacing w:after="0" w:line="17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security deposit is $__________.</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best of Seller’s knowledge, as of the date hereof, both Tenant and Landlord have performed all of their respective obligations under the Lease and Seller has no knowledge of any event which with the giving of notice, the passage of time or both would constitute a default by Landlord or Tenant under the Lease.</w:t>
      </w:r>
    </w:p>
    <w:p>
      <w:pPr>
        <w:spacing w:after="0" w:line="174"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best of Seller’s knowledge, as of the date hereof, Tenant has no claim against Landlord and no offset or defense to enforcement of any of the terms of the Lease.</w:t>
      </w: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8" w:name="page229"/>
    <w:bookmarkEnd w:id="228"/>
    <w:p>
      <w:pPr>
        <w:spacing w:after="0" w:line="189" w:lineRule="exact"/>
        <w:rPr>
          <w:sz w:val="20"/>
          <w:szCs w:val="20"/>
          <w:color w:val="auto"/>
        </w:rPr>
      </w:pPr>
    </w:p>
    <w:p>
      <w:pPr>
        <w:ind w:left="760" w:firstLine="745"/>
        <w:spacing w:after="0" w:line="269" w:lineRule="auto"/>
        <w:tabs>
          <w:tab w:leader="none" w:pos="2048"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improvements required to be completed by Landlord have been completed and there are no contributions, credits or other sums due to Tenant from Landlord, except __________________________________.</w:t>
      </w:r>
    </w:p>
    <w:p>
      <w:pPr>
        <w:spacing w:after="0" w:line="159"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has not notified Landlord in writing of any assignment of the Lease or sublease of the Leased Premises or any part thereof.</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0" w:lineRule="auto"/>
        <w:tabs>
          <w:tab w:leader="none" w:pos="2048"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has no right or option pursuant to the Lease or otherwise to purchase all or any part of the Leased Premises or the Building. Tenant does not have any right or option for additional space in the Building, except</w:t>
      </w:r>
    </w:p>
    <w:p>
      <w:pPr>
        <w:spacing w:after="0" w:line="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_____________________________.</w:t>
      </w:r>
    </w:p>
    <w:p>
      <w:pPr>
        <w:spacing w:after="0" w:line="193"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2048"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has no right to terminate the Lease except, to the extent contained in the Lease, in connection with a casualty or condemnation and except, to the extent permitted by applicable law, in connection with an actual or constructive eviction of Tenant, except _______________________.</w:t>
      </w:r>
    </w:p>
    <w:p>
      <w:pPr>
        <w:spacing w:after="0" w:line="200" w:lineRule="exact"/>
        <w:rPr>
          <w:sz w:val="20"/>
          <w:szCs w:val="20"/>
          <w:color w:val="auto"/>
        </w:rPr>
      </w:pPr>
    </w:p>
    <w:p>
      <w:pPr>
        <w:spacing w:after="0" w:line="204"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Subject to the above limitations, this certificate is being delivered to you with the knowledge that you will rely upon it in your purchase of the Property.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This certificate is dated as of _________________, 2024.</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[SELLER]</w:t>
      </w: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By: _____________________</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Name:</w:t>
      </w:r>
    </w:p>
    <w:p>
      <w:pPr>
        <w:jc w:val="center"/>
        <w:ind w:right="3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FIRPTA AFFIDAVIT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CERTIFICATE OF NON-FOREIGN STATUS</w:t>
      </w:r>
    </w:p>
    <w:p>
      <w:pPr>
        <w:spacing w:after="0" w:line="229" w:lineRule="exact"/>
        <w:rPr>
          <w:sz w:val="20"/>
          <w:szCs w:val="20"/>
          <w:color w:val="auto"/>
        </w:rPr>
      </w:pPr>
    </w:p>
    <w:p>
      <w:pPr>
        <w:spacing w:after="0"/>
        <w:tabs>
          <w:tab w:leader="none" w:pos="5460" w:val="left"/>
          <w:tab w:leader="none" w:pos="7160" w:val="left"/>
        </w:tabs>
        <w:rPr>
          <w:sz w:val="20"/>
          <w:szCs w:val="20"/>
          <w:color w:val="auto"/>
        </w:rPr>
      </w:pPr>
      <w:r>
        <w:rPr>
          <w:rFonts w:ascii="Times New Roman" w:cs="Times New Roman" w:eastAsia="Times New Roman" w:hAnsi="Times New Roman"/>
          <w:sz w:val="20"/>
          <w:szCs w:val="20"/>
          <w:color w:val="auto"/>
        </w:rPr>
        <w:t>This certificate (this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is furnished to [</w:t>
      </w:r>
      <w:r>
        <w:rPr>
          <w:sz w:val="20"/>
          <w:szCs w:val="20"/>
          <w:color w:val="auto"/>
        </w:rPr>
        <w:tab/>
      </w:r>
      <w:r>
        <w:rPr>
          <w:rFonts w:ascii="Times New Roman" w:cs="Times New Roman" w:eastAsia="Times New Roman" w:hAnsi="Times New Roman"/>
          <w:sz w:val="20"/>
          <w:szCs w:val="20"/>
          <w:color w:val="auto"/>
        </w:rPr>
        <w:t>], a [</w:t>
      </w:r>
      <w:r>
        <w:rPr>
          <w:sz w:val="20"/>
          <w:szCs w:val="20"/>
          <w:color w:val="auto"/>
        </w:rPr>
        <w:tab/>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Buyer</w:t>
      </w:r>
      <w:r>
        <w:rPr>
          <w:rFonts w:ascii="Times New Roman" w:cs="Times New Roman" w:eastAsia="Times New Roman" w:hAnsi="Times New Roman"/>
          <w:sz w:val="20"/>
          <w:szCs w:val="20"/>
          <w:color w:val="auto"/>
        </w:rPr>
        <w:t>”), pursuant to that certain Agreement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-10795</wp:posOffset>
            </wp:positionV>
            <wp:extent cx="196405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0">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Purchase and Sale dated as of [________________, 2021] between [SELLER], a [_______________] (“</w:t>
      </w:r>
      <w:r>
        <w:rPr>
          <w:rFonts w:ascii="Times New Roman" w:cs="Times New Roman" w:eastAsia="Times New Roman" w:hAnsi="Times New Roman"/>
          <w:sz w:val="20"/>
          <w:szCs w:val="20"/>
          <w:u w:val="single" w:color="auto"/>
          <w:color w:val="auto"/>
        </w:rPr>
        <w:t>Seller</w:t>
      </w:r>
      <w:r>
        <w:rPr>
          <w:rFonts w:ascii="Times New Roman" w:cs="Times New Roman" w:eastAsia="Times New Roman" w:hAnsi="Times New Roman"/>
          <w:sz w:val="20"/>
          <w:szCs w:val="20"/>
          <w:color w:val="auto"/>
        </w:rPr>
        <w:t>”) and Buyer, for the purpose</w:t>
      </w:r>
    </w:p>
    <w:p>
      <w:pPr>
        <w:jc w:val="both"/>
        <w:spacing w:after="0" w:line="246" w:lineRule="auto"/>
        <w:rPr>
          <w:sz w:val="20"/>
          <w:szCs w:val="20"/>
          <w:color w:val="auto"/>
        </w:rPr>
      </w:pPr>
      <w:r>
        <w:rPr>
          <w:rFonts w:ascii="Times New Roman" w:cs="Times New Roman" w:eastAsia="Times New Roman" w:hAnsi="Times New Roman"/>
          <w:sz w:val="20"/>
          <w:szCs w:val="20"/>
          <w:color w:val="auto"/>
        </w:rPr>
        <w:t>of establishing and documenting the non-foreign affidavit exemption to the withholding requirement of Section 1445 of the Internal Revenue Code of 1986, as amended (the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Section 1445 of the Code provides that a transferee of a U.S. real property interest must withhold tax if the transferor is a foreign person. For U.S. tax purposes (including Section 1445 of the Code), the owner of a disregarded entity (which has legal title to a U.S. real property interest under local law) will be deemed the transferor of the property and not the disregarded entity. To inform Buyer that withholding of tax is not required upon the disposition of a U.S. real property interest by [SELLER], a [_________________] (“</w:t>
      </w:r>
      <w:r>
        <w:rPr>
          <w:rFonts w:ascii="Times New Roman" w:cs="Times New Roman" w:eastAsia="Times New Roman" w:hAnsi="Times New Roman"/>
          <w:sz w:val="19"/>
          <w:szCs w:val="19"/>
          <w:u w:val="single" w:color="auto"/>
          <w:color w:val="auto"/>
        </w:rPr>
        <w:t>Transferor</w:t>
      </w:r>
      <w:r>
        <w:rPr>
          <w:rFonts w:ascii="Times New Roman" w:cs="Times New Roman" w:eastAsia="Times New Roman" w:hAnsi="Times New Roman"/>
          <w:sz w:val="19"/>
          <w:szCs w:val="19"/>
          <w:color w:val="auto"/>
        </w:rPr>
        <w:t>”) (the owner, for</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U.S. federal income tax purposes, of Seller, which is a disregarded entity for U.S. federal income tax purposes), the undersigned hereby certifies the following on behalf of transferor:</w:t>
      </w:r>
    </w:p>
    <w:p>
      <w:pPr>
        <w:spacing w:after="0" w:line="195" w:lineRule="exact"/>
        <w:rPr>
          <w:sz w:val="20"/>
          <w:szCs w:val="20"/>
          <w:color w:val="auto"/>
        </w:rPr>
      </w:pPr>
    </w:p>
    <w:p>
      <w:pPr>
        <w:ind w:left="760" w:hanging="378"/>
        <w:spacing w:after="0" w:line="269" w:lineRule="auto"/>
        <w:tabs>
          <w:tab w:leader="none" w:pos="7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Transferor is not a foreign corporation, foreign partnership, foreign trust or foreign estate (as those terms are defined in the Code and Income Tax Regulations).</w:t>
      </w:r>
    </w:p>
    <w:p>
      <w:pPr>
        <w:spacing w:after="0" w:line="17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Transferor is not a disregarded entity as defined in Section 1.1445-2(b)(2)(iii) of the Income Tax Regulations.</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Transferor’s U.S. employer identification number is [_________]</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Transferor’s office address is [_______________________].</w:t>
      </w:r>
    </w:p>
    <w:p>
      <w:pPr>
        <w:spacing w:after="0" w:line="229"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Signatures to this Certificate delivered electronically via .pdf, .jpeg, .TIF, .TIFF or similar electronic format shall be deemed an original signature and fully effective as such for all purposes. Each party to this Certificate shall be bound by its own electronically transmitted signature and shall accept the electronically transmitted signature of the other party to this Certificate of Non-Foreign Status.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follow]</w:t>
      </w: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30" w:name="page231"/>
    <w:bookmarkEnd w:id="230"/>
    <w:p>
      <w:pPr>
        <w:ind w:firstLine="749"/>
        <w:spacing w:after="0" w:line="269" w:lineRule="auto"/>
        <w:rPr>
          <w:sz w:val="20"/>
          <w:szCs w:val="20"/>
          <w:color w:val="auto"/>
        </w:rPr>
      </w:pPr>
      <w:r>
        <w:rPr>
          <w:rFonts w:ascii="Times New Roman" w:cs="Times New Roman" w:eastAsia="Times New Roman" w:hAnsi="Times New Roman"/>
          <w:sz w:val="20"/>
          <w:szCs w:val="20"/>
          <w:color w:val="auto"/>
        </w:rPr>
        <w:t>Transferor understands that this certification may be disclosed to the Internal Revenue Service by Buyer and that any false statement contained herein could be punished by fine, imprisonment or both.</w:t>
      </w:r>
    </w:p>
    <w:p>
      <w:pPr>
        <w:spacing w:after="0" w:line="3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u w:val="single" w:color="auto"/>
          <w:color w:val="auto"/>
        </w:rPr>
        <w:t>TRANSFEROR:</w:t>
      </w:r>
    </w:p>
    <w:p>
      <w:pPr>
        <w:spacing w:after="0" w:line="220" w:lineRule="exact"/>
        <w:rPr>
          <w:sz w:val="20"/>
          <w:szCs w:val="20"/>
          <w:color w:val="auto"/>
        </w:rPr>
      </w:pPr>
    </w:p>
    <w:p>
      <w:pPr>
        <w:ind w:left="5300" w:hanging="799"/>
        <w:spacing w:after="0"/>
        <w:tabs>
          <w:tab w:leader="none" w:pos="53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4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2899410</wp:posOffset>
            </wp:positionH>
            <wp:positionV relativeFrom="paragraph">
              <wp:posOffset>-170815</wp:posOffset>
            </wp:positionV>
            <wp:extent cx="46037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2">
                      <a:extLst>
                        <a:ext uri="{28A0092B-C50C-407E-A947-70E740481C1C}"/>
                      </a:extLst>
                    </a:blip>
                    <a:srcRect/>
                    <a:stretch>
                      <a:fillRect/>
                    </a:stretch>
                  </pic:blipFill>
                  <pic:spPr bwMode="auto">
                    <a:xfrm>
                      <a:off x="0" y="0"/>
                      <a:ext cx="46037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11690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3">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spacing w:after="0" w:line="29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-10795</wp:posOffset>
            </wp:positionV>
            <wp:extent cx="117284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4">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-24765</wp:posOffset>
            </wp:positionV>
            <wp:extent cx="117284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5">
                      <a:extLst>
                        <a:ext uri="{28A0092B-C50C-407E-A947-70E740481C1C}"/>
                      </a:extLst>
                    </a:blip>
                    <a:srcRect/>
                    <a:stretch>
                      <a:fillRect/>
                    </a:stretch>
                  </pic:blipFill>
                  <pic:spPr bwMode="auto">
                    <a:xfrm>
                      <a:off x="0" y="0"/>
                      <a:ext cx="1172845"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1" w:name="page232"/>
    <w:bookmarkEnd w:id="231"/>
    <w:p>
      <w:pPr>
        <w:jc w:val="center"/>
        <w:ind w:right="-1060"/>
        <w:spacing w:after="0"/>
        <w:rPr>
          <w:sz w:val="20"/>
          <w:szCs w:val="20"/>
          <w:color w:val="auto"/>
        </w:rPr>
      </w:pPr>
      <w:r>
        <w:rPr>
          <w:rFonts w:ascii="Times New Roman" w:cs="Times New Roman" w:eastAsia="Times New Roman" w:hAnsi="Times New Roman"/>
          <w:sz w:val="20"/>
          <w:szCs w:val="20"/>
          <w:b w:val="1"/>
          <w:bCs w:val="1"/>
          <w:u w:val="single" w:color="auto"/>
          <w:color w:val="auto"/>
        </w:rPr>
        <w:t>EXHIBIT G</w:t>
      </w:r>
    </w:p>
    <w:p>
      <w:pPr>
        <w:spacing w:after="0" w:line="21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u w:val="single" w:color="auto"/>
          <w:color w:val="auto"/>
        </w:rPr>
        <w:t>FORM OF OWNER’S AFFIDAVIT</w:t>
      </w:r>
    </w:p>
    <w:p>
      <w:pPr>
        <w:spacing w:after="0" w:line="112"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color w:val="auto"/>
        </w:rPr>
        <w:t>[EXHIBIT FOLLOWS ON NEXT PAGE]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09" w:right="1440"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TITLE-AFFIDAVIT</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dated as of ____/____/____</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3929 Westpoint Blvd., Winston Salem, North Carolina, and 2598 Empire Drive, Winston Salem,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Owner: BREIT SE INDUSTRIAL PROPCO NC LP, a Delaware limited partnership</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Title Insurer: </w:t>
      </w:r>
      <w:r>
        <w:rPr>
          <w:rFonts w:ascii="Times New Roman" w:cs="Times New Roman" w:eastAsia="Times New Roman" w:hAnsi="Times New Roman"/>
          <w:sz w:val="20"/>
          <w:szCs w:val="20"/>
          <w:color w:val="auto"/>
        </w:rPr>
        <w:t>Stewart Title Guaranty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Commitment Nos: [ ]</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Premises, each as legally described in Commitments and with a street address of: 3929 Westpoint Blvd., Winston Salem, North Carolina, and 2598 Empire Drive, Winston Salem,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In connection with the above, Owner certifies the following to Title Insurer as to the Premises but only as to the period between ___/___/___ (date of acquisition), and the date hereof (subject to any exceptions expressly noted below):</w:t>
      </w:r>
    </w:p>
    <w:p>
      <w:pPr>
        <w:spacing w:after="0" w:line="200" w:lineRule="exact"/>
        <w:rPr>
          <w:sz w:val="20"/>
          <w:szCs w:val="20"/>
          <w:color w:val="auto"/>
        </w:rPr>
      </w:pP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Mechanics Liens:</w:t>
      </w:r>
    </w:p>
    <w:p>
      <w:pPr>
        <w:spacing w:after="0" w:line="26" w:lineRule="exact"/>
        <w:rPr>
          <w:sz w:val="20"/>
          <w:szCs w:val="20"/>
          <w:color w:val="auto"/>
        </w:rPr>
      </w:pPr>
    </w:p>
    <w:p>
      <w:pPr>
        <w:jc w:val="both"/>
        <w:ind w:left="1500" w:hanging="743"/>
        <w:spacing w:after="0" w:line="241" w:lineRule="auto"/>
        <w:tabs>
          <w:tab w:leader="none" w:pos="150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labor, services or materials rendered or furnished within the last 180 days with regard to the Premises or the construction or repair of any building or improvements on the Premises contracted for or requested by Owner have been completed and paid for in full, except for routine repairs and/or maintenance, and any and all charges have been or will be duly paid in the ordinary course of business.</w:t>
      </w:r>
    </w:p>
    <w:p>
      <w:pPr>
        <w:spacing w:after="0" w:line="201"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actual knowledge of Owner, all other labor, services or materials that have been rendered or furnished within the last 180 days in connection with the Premises or with the construction or repair of any building or improvements on the Premises have been completed and paid for in full, except routine repairs and/or maintenance; and any and all charges have been or will be duly paid in the ordinary course of business.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Tenants/Parties in Possession:</w:t>
      </w:r>
    </w:p>
    <w:p>
      <w:pPr>
        <w:spacing w:after="0" w:line="26" w:lineRule="exact"/>
        <w:rPr>
          <w:sz w:val="20"/>
          <w:szCs w:val="20"/>
          <w:color w:val="auto"/>
        </w:rPr>
      </w:pPr>
    </w:p>
    <w:p>
      <w:pPr>
        <w:jc w:val="both"/>
        <w:ind w:left="760"/>
        <w:spacing w:after="0"/>
        <w:rPr>
          <w:sz w:val="20"/>
          <w:szCs w:val="20"/>
          <w:color w:val="auto"/>
        </w:rPr>
      </w:pPr>
      <w:r>
        <w:rPr>
          <w:rFonts w:ascii="Times New Roman" w:cs="Times New Roman" w:eastAsia="Times New Roman" w:hAnsi="Times New Roman"/>
          <w:sz w:val="20"/>
          <w:szCs w:val="20"/>
          <w:color w:val="auto"/>
        </w:rPr>
        <w:t>Except as shown in the Commitment (with respect to tenancies of record), including matters disclosed in the underlying exception documents of record referenced therein, there are no tenants or other parties who are in possession or have the right to be in possession of said Premises, other than those tenants identified on the annexed RENT-ROLL (and any subtenants of tenants set forth thereon), which tenants have rights as tenants only and do not have options to purchase all or part of the Premises (“OTPs”), rights of first refusal to acquire all or part of the Premises (“ROFRs”) or rights of first offer to acquire all or part of the Premises (“ROFOs”) that would be triggered by the instant transaction.</w:t>
      </w:r>
    </w:p>
    <w:p>
      <w:pPr>
        <w:spacing w:after="0" w:line="2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Unrecorded OTPs, ROFRs and ROFOs:</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33" w:name="page234"/>
    <w:bookmarkEnd w:id="233"/>
    <w:p>
      <w:pPr>
        <w:jc w:val="both"/>
        <w:ind w:left="760"/>
        <w:spacing w:after="0" w:line="269" w:lineRule="auto"/>
        <w:rPr>
          <w:sz w:val="20"/>
          <w:szCs w:val="20"/>
          <w:color w:val="auto"/>
        </w:rPr>
      </w:pPr>
      <w:r>
        <w:rPr>
          <w:rFonts w:ascii="Times New Roman" w:cs="Times New Roman" w:eastAsia="Times New Roman" w:hAnsi="Times New Roman"/>
          <w:sz w:val="20"/>
          <w:szCs w:val="20"/>
          <w:color w:val="auto"/>
        </w:rPr>
        <w:t>Owner has not entered into (and has no actual knowledge of) any unrecorded OTPs, ROFRs or ROFOs which are presently in effect and would be triggered by the instant transaction, except as set forth in the Commitment.</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Covenants &amp; Restrictions:</w:t>
      </w:r>
    </w:p>
    <w:p>
      <w:pPr>
        <w:spacing w:after="0" w:line="26" w:lineRule="exact"/>
        <w:rPr>
          <w:sz w:val="20"/>
          <w:szCs w:val="20"/>
          <w:color w:val="auto"/>
        </w:rPr>
      </w:pPr>
    </w:p>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To the actual knowledge of Owner, (a) Owner has received no written notice of past or present violations of any effective covenants, conditions or restrictions set forth in the Commitment (the “CC&amp;Rs”) which remain uncured, and (b) any charge or assessment provided for in any of the CC&amp;Rs has been or will be duly paid in the ordinary course.</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Bankruptcy:</w:t>
      </w:r>
    </w:p>
    <w:p>
      <w:pPr>
        <w:spacing w:after="0" w:line="26" w:lineRule="exact"/>
        <w:rPr>
          <w:sz w:val="20"/>
          <w:szCs w:val="20"/>
          <w:color w:val="auto"/>
        </w:rPr>
      </w:pPr>
    </w:p>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No proceedings in bankruptcy or receivership have been instituted by or against Owner (or its constituent entities) which are now pending, nor has Owner (or its constituent entities) made any assignment for the benefit of creditors which is in effect as to said Premises.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Gap Indemnification:</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Between the date hereof and the date of recording of the insured conveyance but in no event later than 5 business days from the date hereof (hereinafter, the “Gap Period”), Owner has not taken or allowed and will not voluntarily take or allow any action to encumber the Premises in the Gap Period.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Further Assurances:</w:t>
      </w:r>
    </w:p>
    <w:p>
      <w:pPr>
        <w:spacing w:after="0" w:line="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Owner hereby undertakes and agrees to fully cooperate with Title Insurer in correcting any errors in the execution and acknowledgment of the insured conveyance.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Counterparts: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Affidavit may be executed in counterparts.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Inducement and Indemnification:</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Owner provides this document to induce Title Insurer to insure title to said Premises well knowing that it will do so only in complete reliance upon the matters asserted hereinabove and further, will indemnify, defend and hold Title Insurer harmless against any loss or damage sustained as a result of any inaccuracy in the matters asserted hereinabove.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Knowledge/Survival:</w:t>
      </w:r>
    </w:p>
    <w:p>
      <w:pPr>
        <w:spacing w:after="0" w:line="2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Any statement “to the actual knowledge of Owner” (or similar phrase) shall mean that the “Designated Representative” (as hereinafter defined) of Owner has no knowledge that such statement is untrue (and, for this purpose, Owner’s knowledge shall mean the present actual knowledge (excluding constructive or imputed knowledge) of the Designated Representative, but such Designated Representative shall not have any liability in connection herewith. Notwithstanding anything to the contrary herein, (1) any cause of action for a breach of this document shall survive until 6 months after the date hereof</w:t>
      </w: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color w:val="auto"/>
        </w:rPr>
        <w:t>, at which time the provisions hereof (and any potential cause of action resulting from any breach for which Title Insurer has not given Owner written notice) shall terminate; and (2) to the extent Title Insurer shall have knowledge as of the date hereof that any of the statements contained herein is false or inaccurate, then Owner shall have no liability with respect to the same. The “Designated Representative” for Owner is _____________________________. The Designated Representative of</w:t>
      </w:r>
    </w:p>
    <w:p>
      <w:pPr>
        <w:spacing w:after="0" w:line="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Owner is an individual affiliated with, or employed by, Owner or its affiliates who has been directly involved in the asset management, investment management or property management of the Premises and is in a position to confirm the truth and accuracy of Owner’s knowledge certifications herein concerning the Premises.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ANNEXED SIGNATURE PAGE TO TITLE-AFFIDAVIT</w:t>
      </w: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4" w:name="page235"/>
    <w:bookmarkEnd w:id="234"/>
    <w:p>
      <w:pPr>
        <w:ind w:left="3760"/>
        <w:spacing w:after="0"/>
        <w:rPr>
          <w:sz w:val="20"/>
          <w:szCs w:val="20"/>
          <w:color w:val="auto"/>
        </w:rPr>
      </w:pPr>
      <w:r>
        <w:rPr>
          <w:rFonts w:ascii="Times New Roman" w:cs="Times New Roman" w:eastAsia="Times New Roman" w:hAnsi="Times New Roman"/>
          <w:sz w:val="20"/>
          <w:szCs w:val="20"/>
          <w:color w:val="auto"/>
        </w:rPr>
        <w:t>SIGNATURE PAGE TO TITLE-AFFIDAVIT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OWNER: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BREIT SE INDUSTRIAL PROPCO NC LP, a Delaware limited partnership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________________________________________</w:t>
      </w:r>
    </w:p>
    <w:p>
      <w:pPr>
        <w:spacing w:after="0" w:line="21" w:lineRule="exact"/>
        <w:rPr>
          <w:sz w:val="20"/>
          <w:szCs w:val="20"/>
          <w:color w:val="auto"/>
        </w:rPr>
      </w:pPr>
    </w:p>
    <w:p>
      <w:pPr>
        <w:ind w:left="400"/>
        <w:spacing w:after="0"/>
        <w:tabs>
          <w:tab w:leader="none" w:pos="1180" w:val="left"/>
        </w:tabs>
        <w:rPr>
          <w:sz w:val="20"/>
          <w:szCs w:val="20"/>
          <w:color w:val="auto"/>
        </w:rPr>
      </w:pPr>
      <w:r>
        <w:rPr>
          <w:rFonts w:ascii="Times New Roman" w:cs="Times New Roman" w:eastAsia="Times New Roman" w:hAnsi="Times New Roman"/>
          <w:sz w:val="20"/>
          <w:szCs w:val="20"/>
          <w:color w:val="auto"/>
        </w:rPr>
        <w:t>Name:</w:t>
        <w:tab/>
        <w:t>________________________________</w:t>
      </w:r>
    </w:p>
    <w:p>
      <w:pPr>
        <w:ind w:left="400"/>
        <w:spacing w:after="0"/>
        <w:tabs>
          <w:tab w:leader="none" w:pos="1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Subscribed and sworn to on _____/_____/_____</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35" w:name="page236"/>
    <w:bookmarkEnd w:id="235"/>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H</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FORM OF TENANT NOTICE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TENANT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[DATE]</w:t>
      </w:r>
    </w:p>
    <w:p>
      <w:pPr>
        <w:spacing w:after="0" w:line="229"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b w:val="1"/>
          <w:bCs w:val="1"/>
          <w:color w:val="auto"/>
        </w:rPr>
        <w:t>3929 Westpoint Blvd., Winston Salem, North Carolina, and 2598 Empire Drive, Winston Salem, North Carolina</w:t>
      </w:r>
      <w:r>
        <w:rPr>
          <w:rFonts w:ascii="Times New Roman" w:cs="Times New Roman" w:eastAsia="Times New Roman" w:hAnsi="Times New Roman"/>
          <w:sz w:val="20"/>
          <w:szCs w:val="20"/>
          <w:color w:val="auto"/>
        </w:rPr>
        <w:t xml:space="preserve"> (collectively, the “</w:t>
      </w:r>
      <w:r>
        <w:rPr>
          <w:rFonts w:ascii="Times New Roman" w:cs="Times New Roman" w:eastAsia="Times New Roman" w:hAnsi="Times New Roman"/>
          <w:sz w:val="20"/>
          <w:szCs w:val="20"/>
          <w:b w:val="1"/>
          <w:bCs w:val="1"/>
          <w:color w:val="auto"/>
        </w:rPr>
        <w:t>Property</w:t>
      </w:r>
      <w:r>
        <w:rPr>
          <w:rFonts w:ascii="Times New Roman" w:cs="Times New Roman" w:eastAsia="Times New Roman" w:hAnsi="Times New Roman"/>
          <w:sz w:val="20"/>
          <w:szCs w:val="20"/>
          <w:color w:val="auto"/>
        </w:rPr>
        <w: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Tenant: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Please be advised that effective as of the date hereof, </w:t>
      </w:r>
      <w:r>
        <w:rPr>
          <w:rFonts w:ascii="Times New Roman" w:cs="Times New Roman" w:eastAsia="Times New Roman" w:hAnsi="Times New Roman"/>
          <w:sz w:val="20"/>
          <w:szCs w:val="20"/>
          <w:b w:val="1"/>
          <w:bCs w:val="1"/>
          <w:color w:val="auto"/>
        </w:rPr>
        <w:t>BREIT SE INDUSTRIAL PROPCO NC LP, a Delaware limited partnership,</w:t>
      </w:r>
      <w:r>
        <w:rPr>
          <w:rFonts w:ascii="Times New Roman" w:cs="Times New Roman" w:eastAsia="Times New Roman" w:hAnsi="Times New Roman"/>
          <w:sz w:val="20"/>
          <w:szCs w:val="20"/>
          <w:color w:val="auto"/>
        </w:rPr>
        <w:t xml:space="preserve"> has sold the Property to </w:t>
      </w:r>
      <w:r>
        <w:rPr>
          <w:rFonts w:ascii="Times New Roman" w:cs="Times New Roman" w:eastAsia="Times New Roman" w:hAnsi="Times New Roman"/>
          <w:sz w:val="20"/>
          <w:szCs w:val="20"/>
          <w:b w:val="1"/>
          <w:bCs w:val="1"/>
          <w:color w:val="auto"/>
        </w:rPr>
        <w:t>[_________________]</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b w:val="1"/>
          <w:bCs w:val="1"/>
          <w:color w:val="auto"/>
        </w:rPr>
        <w:t>[_________________]</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 Effective as of the date hereof, your security deposit (if</w:t>
      </w:r>
    </w:p>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 xml:space="preserve">any) has been transferred to Buyer. Buyer acknowledges that it has received and is responsible for your security deposit. All future rental payments should be sent to Buyer at the address set forth on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attached hereto and made a part hereof. Any questions regarding maintenance and management of the Property should be addressed to Buyer at the address set forth on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200" w:lineRule="exact"/>
        <w:rPr>
          <w:sz w:val="20"/>
          <w:szCs w:val="20"/>
          <w:color w:val="auto"/>
        </w:rPr>
      </w:pPr>
    </w:p>
    <w:p>
      <w:pPr>
        <w:spacing w:after="0" w:line="22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17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BREIT SE INDUSTRIAL PROPCO NC LP</w:t>
      </w:r>
      <w:r>
        <w:rPr>
          <w:rFonts w:ascii="Times New Roman" w:cs="Times New Roman" w:eastAsia="Times New Roman" w:hAnsi="Times New Roman"/>
          <w:sz w:val="19"/>
          <w:szCs w:val="19"/>
          <w:color w:val="auto"/>
        </w:rPr>
        <w:t>, a Delaware limited partnership</w:t>
      </w:r>
    </w:p>
    <w:p>
      <w:pPr>
        <w:spacing w:after="0" w:line="231" w:lineRule="exact"/>
        <w:rPr>
          <w:sz w:val="20"/>
          <w:szCs w:val="20"/>
          <w:color w:val="auto"/>
        </w:rPr>
      </w:pPr>
    </w:p>
    <w:p>
      <w:pPr>
        <w:ind w:left="4200" w:right="340"/>
        <w:spacing w:after="0" w:line="269" w:lineRule="auto"/>
        <w:rPr>
          <w:sz w:val="20"/>
          <w:szCs w:val="20"/>
          <w:color w:val="auto"/>
        </w:rPr>
      </w:pPr>
      <w:r>
        <w:rPr>
          <w:rFonts w:ascii="Times New Roman" w:cs="Times New Roman" w:eastAsia="Times New Roman" w:hAnsi="Times New Roman"/>
          <w:sz w:val="20"/>
          <w:szCs w:val="20"/>
          <w:color w:val="auto"/>
        </w:rPr>
        <w:t>By: BREIT SE Industrial Propco NC GP LLC, a Delaware limited liability company, its General Partner</w:t>
      </w:r>
    </w:p>
    <w:p>
      <w:pPr>
        <w:spacing w:after="0" w:line="15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2849880</wp:posOffset>
            </wp:positionH>
            <wp:positionV relativeFrom="paragraph">
              <wp:posOffset>-10795</wp:posOffset>
            </wp:positionV>
            <wp:extent cx="182880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4">
                      <a:extLst>
                        <a:ext uri="{28A0092B-C50C-407E-A947-70E740481C1C}"/>
                      </a:extLst>
                    </a:blip>
                    <a:srcRect/>
                    <a:stretch>
                      <a:fillRect/>
                    </a:stretch>
                  </pic:blipFill>
                  <pic:spPr bwMode="auto">
                    <a:xfrm>
                      <a:off x="0" y="0"/>
                      <a:ext cx="1828800" cy="8255"/>
                    </a:xfrm>
                    <a:prstGeom prst="rect">
                      <a:avLst/>
                    </a:prstGeom>
                    <a:noFill/>
                  </pic:spPr>
                </pic:pic>
              </a:graphicData>
            </a:graphic>
          </wp:anchor>
        </w:drawing>
      </w:r>
    </w:p>
    <w:p>
      <w:pPr>
        <w:spacing w:after="0" w:line="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Name:</w:t>
      </w:r>
    </w:p>
    <w:p>
      <w:pPr>
        <w:ind w:left="42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40" w:right="1079" w:bottom="1440" w:gutter="0" w:footer="0" w:header="0"/>
        </w:sectPr>
      </w:pPr>
    </w:p>
    <w:bookmarkStart w:id="237" w:name="page238"/>
    <w:bookmarkEnd w:id="237"/>
    <w:p>
      <w:pPr>
        <w:ind w:left="4200"/>
        <w:spacing w:after="0"/>
        <w:rPr>
          <w:sz w:val="20"/>
          <w:szCs w:val="20"/>
          <w:color w:val="auto"/>
        </w:rPr>
      </w:pPr>
      <w:r>
        <w:rPr>
          <w:rFonts w:ascii="Times New Roman" w:cs="Times New Roman" w:eastAsia="Times New Roman" w:hAnsi="Times New Roman"/>
          <w:sz w:val="20"/>
          <w:szCs w:val="20"/>
          <w:b w:val="1"/>
          <w:bCs w:val="1"/>
          <w:color w:val="auto"/>
        </w:rPr>
        <w:t>BUYER:</w:t>
      </w:r>
    </w:p>
    <w:p>
      <w:pPr>
        <w:spacing w:after="0" w:line="17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[_________________]</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2849880</wp:posOffset>
            </wp:positionH>
            <wp:positionV relativeFrom="paragraph">
              <wp:posOffset>-10795</wp:posOffset>
            </wp:positionV>
            <wp:extent cx="182880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6">
                      <a:extLst>
                        <a:ext uri="{28A0092B-C50C-407E-A947-70E740481C1C}"/>
                      </a:extLst>
                    </a:blip>
                    <a:srcRect/>
                    <a:stretch>
                      <a:fillRect/>
                    </a:stretch>
                  </pic:blipFill>
                  <pic:spPr bwMode="auto">
                    <a:xfrm>
                      <a:off x="0" y="0"/>
                      <a:ext cx="1828800" cy="8255"/>
                    </a:xfrm>
                    <a:prstGeom prst="rect">
                      <a:avLst/>
                    </a:prstGeom>
                    <a:noFill/>
                  </pic:spPr>
                </pic:pic>
              </a:graphicData>
            </a:graphic>
          </wp:anchor>
        </w:drawing>
      </w:r>
    </w:p>
    <w:p>
      <w:pPr>
        <w:spacing w:after="0" w:line="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Name:</w:t>
      </w:r>
    </w:p>
    <w:p>
      <w:pPr>
        <w:ind w:left="42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-24765</wp:posOffset>
            </wp:positionV>
            <wp:extent cx="195770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7">
                      <a:extLst>
                        <a:ext uri="{28A0092B-C50C-407E-A947-70E740481C1C}"/>
                      </a:extLst>
                    </a:blip>
                    <a:srcRect/>
                    <a:stretch>
                      <a:fillRect/>
                    </a:stretch>
                  </pic:blipFill>
                  <pic:spPr bwMode="auto">
                    <a:xfrm>
                      <a:off x="0" y="0"/>
                      <a:ext cx="19577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09" w:right="1440" w:bottom="1440" w:gutter="0" w:footer="0" w:header="0"/>
        </w:sectPr>
      </w:pPr>
    </w:p>
    <w:bookmarkStart w:id="238" w:name="page239"/>
    <w:bookmarkEnd w:id="238"/>
    <w:p>
      <w:pPr>
        <w:ind w:left="3660"/>
        <w:spacing w:after="0"/>
        <w:rPr>
          <w:sz w:val="20"/>
          <w:szCs w:val="20"/>
          <w:color w:val="auto"/>
        </w:rPr>
      </w:pPr>
      <w:r>
        <w:rPr>
          <w:rFonts w:ascii="Times New Roman" w:cs="Times New Roman" w:eastAsia="Times New Roman" w:hAnsi="Times New Roman"/>
          <w:sz w:val="20"/>
          <w:szCs w:val="20"/>
          <w:b w:val="1"/>
          <w:bCs w:val="1"/>
          <w:u w:val="single" w:color="auto"/>
          <w:color w:val="auto"/>
        </w:rPr>
        <w:t>EXHIBIT A TO TENANT NOTICE LETTER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future rental payments should be sent to Buyer at the following address:</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______________________________</w:t>
      </w:r>
    </w:p>
    <w:p>
      <w:pPr>
        <w:ind w:left="4140"/>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questions regarding maintenance and management of the Property should be addressed to Buyer at the following address:</w:t>
      </w:r>
    </w:p>
    <w:p>
      <w:pPr>
        <w:spacing w:after="0" w:line="24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20"/>
          <w:szCs w:val="20"/>
          <w:b w:val="1"/>
          <w:bCs w:val="1"/>
          <w:color w:val="auto"/>
        </w:rPr>
        <w:t>EXHIBIT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SELLER’S CLOSING CERTIFICATE</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[______________], 2024</w:t>
      </w:r>
    </w:p>
    <w:p>
      <w:pPr>
        <w:spacing w:after="0" w:line="229" w:lineRule="exact"/>
        <w:rPr>
          <w:sz w:val="20"/>
          <w:szCs w:val="20"/>
          <w:color w:val="auto"/>
        </w:rPr>
      </w:pPr>
    </w:p>
    <w:p>
      <w:pPr>
        <w:ind w:left="760"/>
        <w:spacing w:after="0"/>
        <w:tabs>
          <w:tab w:leader="none" w:pos="11060" w:val="left"/>
        </w:tabs>
        <w:rPr>
          <w:sz w:val="20"/>
          <w:szCs w:val="20"/>
          <w:color w:val="auto"/>
        </w:rPr>
      </w:pPr>
      <w:r>
        <w:rPr>
          <w:rFonts w:ascii="Times New Roman" w:cs="Times New Roman" w:eastAsia="Times New Roman" w:hAnsi="Times New Roman"/>
          <w:sz w:val="20"/>
          <w:szCs w:val="20"/>
          <w:color w:val="auto"/>
        </w:rPr>
        <w:t xml:space="preserve">This  Seller’s  Closing  Certificate  is  given  by  </w:t>
      </w:r>
      <w:r>
        <w:rPr>
          <w:rFonts w:ascii="Times New Roman" w:cs="Times New Roman" w:eastAsia="Times New Roman" w:hAnsi="Times New Roman"/>
          <w:sz w:val="20"/>
          <w:szCs w:val="20"/>
          <w:b w:val="1"/>
          <w:bCs w:val="1"/>
          <w:color w:val="auto"/>
        </w:rPr>
        <w:t>[_____________]</w:t>
      </w:r>
      <w:r>
        <w:rPr>
          <w:rFonts w:ascii="Times New Roman" w:cs="Times New Roman" w:eastAsia="Times New Roman" w:hAnsi="Times New Roman"/>
          <w:sz w:val="20"/>
          <w:szCs w:val="20"/>
          <w:color w:val="auto"/>
        </w:rPr>
        <w:t>,  a  Delaware  limited  liability  company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w:t>
        <w:tab/>
        <w:t>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[_______________]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 pursuant to that certain Agreement for Purchase and Sale of Real Property between Seller and Buyer’s</w:t>
      </w:r>
    </w:p>
    <w:p>
      <w:pPr>
        <w:spacing w:after="0"/>
        <w:rPr>
          <w:sz w:val="20"/>
          <w:szCs w:val="20"/>
          <w:color w:val="auto"/>
        </w:rPr>
      </w:pPr>
      <w:r>
        <w:rPr>
          <w:rFonts w:ascii="Times New Roman" w:cs="Times New Roman" w:eastAsia="Times New Roman" w:hAnsi="Times New Roman"/>
          <w:sz w:val="20"/>
          <w:szCs w:val="20"/>
          <w:color w:val="auto"/>
        </w:rPr>
        <w:t xml:space="preserve">predecessor-in-interest dated as of __________, 2024, relating to certain property commonly known as </w:t>
      </w:r>
      <w:r>
        <w:rPr>
          <w:rFonts w:ascii="Times New Roman" w:cs="Times New Roman" w:eastAsia="Times New Roman" w:hAnsi="Times New Roman"/>
          <w:sz w:val="20"/>
          <w:szCs w:val="20"/>
          <w:b w:val="1"/>
          <w:bCs w:val="1"/>
          <w:color w:val="auto"/>
        </w:rPr>
        <w:t>[______________]</w:t>
      </w:r>
      <w:r>
        <w:rPr>
          <w:rFonts w:ascii="Times New Roman" w:cs="Times New Roman" w:eastAsia="Times New Roman" w:hAnsi="Times New Roman"/>
          <w:sz w:val="20"/>
          <w:szCs w:val="20"/>
          <w:color w:val="auto"/>
        </w:rPr>
        <w:t xml:space="preserve"> (as may have</w:t>
      </w:r>
    </w:p>
    <w:p>
      <w:pPr>
        <w:jc w:val="both"/>
        <w:spacing w:after="0" w:line="241" w:lineRule="auto"/>
        <w:rPr>
          <w:sz w:val="20"/>
          <w:szCs w:val="20"/>
          <w:color w:val="auto"/>
        </w:rPr>
      </w:pPr>
      <w:r>
        <w:rPr>
          <w:rFonts w:ascii="Times New Roman" w:cs="Times New Roman" w:eastAsia="Times New Roman" w:hAnsi="Times New Roman"/>
          <w:sz w:val="20"/>
          <w:szCs w:val="20"/>
          <w:color w:val="auto"/>
        </w:rPr>
        <w:t>been amended from time to time, the “</w:t>
      </w:r>
      <w:r>
        <w:rPr>
          <w:rFonts w:ascii="Times New Roman" w:cs="Times New Roman" w:eastAsia="Times New Roman" w:hAnsi="Times New Roman"/>
          <w:sz w:val="20"/>
          <w:szCs w:val="20"/>
          <w:b w:val="1"/>
          <w:bCs w:val="1"/>
          <w:color w:val="auto"/>
        </w:rPr>
        <w:t>Purchase Agreement</w:t>
      </w:r>
      <w:r>
        <w:rPr>
          <w:rFonts w:ascii="Times New Roman" w:cs="Times New Roman" w:eastAsia="Times New Roman" w:hAnsi="Times New Roman"/>
          <w:sz w:val="20"/>
          <w:szCs w:val="20"/>
          <w:color w:val="auto"/>
        </w:rPr>
        <w:t xml:space="preserve">”). All capitalized terms not specifically defined herein shall carry the definition ascribed them under the Purchase Agreement. Seller certifies to Buyer as of the date hereof, except as expressly set forth on </w:t>
      </w:r>
      <w:r>
        <w:rPr>
          <w:rFonts w:ascii="Times New Roman" w:cs="Times New Roman" w:eastAsia="Times New Roman" w:hAnsi="Times New Roman"/>
          <w:sz w:val="20"/>
          <w:szCs w:val="20"/>
          <w:b w:val="1"/>
          <w:bCs w:val="1"/>
          <w:color w:val="auto"/>
        </w:rPr>
        <w:t>Schedule 1</w:t>
      </w:r>
      <w:r>
        <w:rPr>
          <w:rFonts w:ascii="Times New Roman" w:cs="Times New Roman" w:eastAsia="Times New Roman" w:hAnsi="Times New Roman"/>
          <w:sz w:val="20"/>
          <w:szCs w:val="20"/>
          <w:color w:val="auto"/>
        </w:rPr>
        <w:t xml:space="preserve"> attached hereto and made a part hereof, the representations and warranties of Seller set forth in </w:t>
      </w:r>
      <w:r>
        <w:rPr>
          <w:rFonts w:ascii="Times New Roman" w:cs="Times New Roman" w:eastAsia="Times New Roman" w:hAnsi="Times New Roman"/>
          <w:sz w:val="20"/>
          <w:szCs w:val="20"/>
          <w:b w:val="1"/>
          <w:bCs w:val="1"/>
          <w:color w:val="auto"/>
        </w:rPr>
        <w:t>Section 8</w:t>
      </w:r>
      <w:r>
        <w:rPr>
          <w:rFonts w:ascii="Times New Roman" w:cs="Times New Roman" w:eastAsia="Times New Roman" w:hAnsi="Times New Roman"/>
          <w:sz w:val="20"/>
          <w:szCs w:val="20"/>
          <w:color w:val="auto"/>
        </w:rPr>
        <w:t xml:space="preserve"> of the Purchase Agreement remain true and accurate in all material respects as of the date hereof, as qualified by the terms, conditions, qualifications and limitations contained in the Purchase Agreement.</w:t>
      </w:r>
    </w:p>
    <w:p>
      <w:pPr>
        <w:spacing w:after="0" w:line="20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Notwithstanding the foregoing, this Seller’s Closing Certificate is subject to the terms and conditions of the Purchase Agreement, including, without limitation, all qualifications, liability limitations and survival limitations contained therein.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 FOLLOWS]</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0" w:name="page241"/>
    <w:bookmarkEnd w:id="240"/>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[_______________________]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-10795</wp:posOffset>
            </wp:positionV>
            <wp:extent cx="151447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1">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-10795</wp:posOffset>
            </wp:positionV>
            <wp:extent cx="136144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2">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-10795</wp:posOffset>
            </wp:positionV>
            <wp:extent cx="142367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3">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41" w:name="page242"/>
    <w:bookmarkEnd w:id="241"/>
    <w:p>
      <w:pPr>
        <w:ind w:left="3100"/>
        <w:spacing w:after="0"/>
        <w:rPr>
          <w:sz w:val="20"/>
          <w:szCs w:val="20"/>
          <w:color w:val="auto"/>
        </w:rPr>
      </w:pPr>
      <w:r>
        <w:rPr>
          <w:rFonts w:ascii="Times New Roman" w:cs="Times New Roman" w:eastAsia="Times New Roman" w:hAnsi="Times New Roman"/>
          <w:sz w:val="20"/>
          <w:szCs w:val="20"/>
          <w:b w:val="1"/>
          <w:bCs w:val="1"/>
          <w:color w:val="auto"/>
        </w:rPr>
        <w:t>SCHEDULE 1 TO SELLER’S CLOSING CERTIFICATE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09" w:right="1440" w:bottom="1440" w:gutter="0" w:footer="0" w:header="0"/>
        </w:sectPr>
      </w:pPr>
    </w:p>
    <w:bookmarkStart w:id="242" w:name="page243"/>
    <w:bookmarkEnd w:id="242"/>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5(a)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UNAPPLIED REFUNDABLE SECURITY DEPOSITS</w:t>
      </w:r>
    </w:p>
    <w:p>
      <w:pPr>
        <w:spacing w:after="0" w:line="200" w:lineRule="exact"/>
        <w:rPr>
          <w:sz w:val="20"/>
          <w:szCs w:val="20"/>
          <w:color w:val="auto"/>
        </w:rPr>
      </w:pPr>
    </w:p>
    <w:p>
      <w:pPr>
        <w:spacing w:after="0" w:line="357"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1440" w:type="dxa"/>
            <w:vAlign w:val="bottom"/>
            <w:tcBorders>
              <w:top w:val="single" w:sz="8" w:color="auto"/>
              <w:left w:val="single" w:sz="8" w:color="auto"/>
              <w:bottom w:val="single" w:sz="8" w:color="auto"/>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Asset ID</w:t>
            </w:r>
          </w:p>
        </w:tc>
        <w:tc>
          <w:tcPr>
            <w:tcW w:w="520" w:type="dxa"/>
            <w:vAlign w:val="bottom"/>
            <w:tcBorders>
              <w:top w:val="single" w:sz="8" w:color="auto"/>
              <w:bottom w:val="single" w:sz="8" w:color="auto"/>
            </w:tcBorders>
            <w:shd w:val="clear" w:color="auto" w:fill="0070C0"/>
          </w:tcPr>
          <w:p>
            <w:pPr>
              <w:spacing w:after="0"/>
              <w:rPr>
                <w:sz w:val="24"/>
                <w:szCs w:val="24"/>
                <w:color w:val="auto"/>
              </w:rPr>
            </w:pPr>
          </w:p>
        </w:tc>
        <w:tc>
          <w:tcPr>
            <w:tcW w:w="3340" w:type="dxa"/>
            <w:vAlign w:val="bottom"/>
            <w:tcBorders>
              <w:top w:val="single" w:sz="8" w:color="auto"/>
              <w:bottom w:val="single" w:sz="8" w:color="auto"/>
              <w:right w:val="single" w:sz="8" w:color="auto"/>
            </w:tcBorders>
            <w:shd w:val="clear" w:color="auto" w:fill="0070C0"/>
          </w:tcPr>
          <w:p>
            <w:pPr>
              <w:ind w:left="1000"/>
              <w:spacing w:after="0"/>
              <w:rPr>
                <w:sz w:val="20"/>
                <w:szCs w:val="20"/>
                <w:color w:val="auto"/>
              </w:rPr>
            </w:pPr>
            <w:r>
              <w:rPr>
                <w:rFonts w:ascii="Times New Roman" w:cs="Times New Roman" w:eastAsia="Times New Roman" w:hAnsi="Times New Roman"/>
                <w:sz w:val="20"/>
                <w:szCs w:val="20"/>
                <w:b w:val="1"/>
                <w:bCs w:val="1"/>
                <w:color w:val="FFFFFF"/>
              </w:rPr>
              <w:t>Property</w:t>
            </w:r>
          </w:p>
        </w:tc>
        <w:tc>
          <w:tcPr>
            <w:tcW w:w="3120" w:type="dxa"/>
            <w:vAlign w:val="bottom"/>
            <w:tcBorders>
              <w:top w:val="single" w:sz="8" w:color="auto"/>
              <w:bottom w:val="single" w:sz="8" w:color="auto"/>
              <w:right w:val="single" w:sz="8" w:color="auto"/>
            </w:tcBorders>
            <w:shd w:val="clear" w:color="auto" w:fill="0070C0"/>
          </w:tcPr>
          <w:p>
            <w:pPr>
              <w:ind w:left="1200"/>
              <w:spacing w:after="0"/>
              <w:rPr>
                <w:sz w:val="20"/>
                <w:szCs w:val="20"/>
                <w:color w:val="auto"/>
              </w:rPr>
            </w:pPr>
            <w:r>
              <w:rPr>
                <w:rFonts w:ascii="Times New Roman" w:cs="Times New Roman" w:eastAsia="Times New Roman" w:hAnsi="Times New Roman"/>
                <w:sz w:val="20"/>
                <w:szCs w:val="20"/>
                <w:b w:val="1"/>
                <w:bCs w:val="1"/>
                <w:color w:val="FFFFFF"/>
              </w:rPr>
              <w:t>Tenants</w:t>
            </w:r>
          </w:p>
        </w:tc>
        <w:tc>
          <w:tcPr>
            <w:tcW w:w="2820" w:type="dxa"/>
            <w:vAlign w:val="bottom"/>
            <w:tcBorders>
              <w:top w:val="single" w:sz="8" w:color="auto"/>
              <w:bottom w:val="single" w:sz="8" w:color="auto"/>
              <w:right w:val="single" w:sz="8" w:color="auto"/>
            </w:tcBorders>
            <w:shd w:val="clear" w:color="auto" w:fill="0070C0"/>
          </w:tcPr>
          <w:p>
            <w:pPr>
              <w:ind w:left="200"/>
              <w:spacing w:after="0"/>
              <w:rPr>
                <w:sz w:val="20"/>
                <w:szCs w:val="20"/>
                <w:color w:val="auto"/>
              </w:rPr>
            </w:pPr>
            <w:r>
              <w:rPr>
                <w:rFonts w:ascii="Times New Roman" w:cs="Times New Roman" w:eastAsia="Times New Roman" w:hAnsi="Times New Roman"/>
                <w:sz w:val="20"/>
                <w:szCs w:val="20"/>
                <w:b w:val="1"/>
                <w:bCs w:val="1"/>
                <w:color w:val="FFFFFF"/>
              </w:rPr>
              <w:t>Unapplied Security Deposits</w:t>
            </w:r>
          </w:p>
        </w:tc>
      </w:tr>
      <w:tr>
        <w:trPr>
          <w:trHeight w:val="245"/>
        </w:trPr>
        <w:tc>
          <w:tcPr>
            <w:tcW w:w="1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bt42462</w:t>
            </w:r>
          </w:p>
        </w:tc>
        <w:tc>
          <w:tcPr>
            <w:tcW w:w="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242424"/>
                <w:w w:val="99"/>
              </w:rPr>
              <w:t>3929</w:t>
            </w:r>
          </w:p>
        </w:tc>
        <w:tc>
          <w:tcPr>
            <w:tcW w:w="3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242424"/>
              </w:rPr>
              <w:t>Westpoint Blvd</w:t>
            </w:r>
          </w:p>
        </w:tc>
        <w:tc>
          <w:tcPr>
            <w:tcW w:w="3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ProKidney, LLC</w:t>
            </w:r>
          </w:p>
        </w:tc>
        <w:tc>
          <w:tcPr>
            <w:tcW w:w="2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$28,546.97</w:t>
            </w:r>
          </w:p>
        </w:tc>
      </w:tr>
      <w:tr>
        <w:trPr>
          <w:trHeight w:val="256"/>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bt42462</w:t>
            </w:r>
          </w:p>
        </w:tc>
        <w:tc>
          <w:tcPr>
            <w:tcW w:w="3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242424"/>
              </w:rPr>
              <w:t>3929 Westpoint Blvd</w:t>
            </w:r>
          </w:p>
        </w:tc>
        <w:tc>
          <w:tcPr>
            <w:tcW w:w="3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Dime EMB LLC</w:t>
            </w: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$5,000.00</w:t>
            </w:r>
          </w:p>
        </w:tc>
      </w:tr>
      <w:tr>
        <w:trPr>
          <w:trHeight w:val="201"/>
        </w:trPr>
        <w:tc>
          <w:tcPr>
            <w:tcW w:w="1440" w:type="dxa"/>
            <w:vAlign w:val="bottom"/>
            <w:tcBorders>
              <w:left w:val="single" w:sz="8" w:color="auto"/>
              <w:bottom w:val="single" w:sz="8" w:color="auto"/>
              <w:right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r>
      <w:tr>
        <w:trPr>
          <w:trHeight w:val="252"/>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bt42462</w:t>
            </w:r>
          </w:p>
        </w:tc>
        <w:tc>
          <w:tcPr>
            <w:tcW w:w="520" w:type="dxa"/>
            <w:vAlign w:val="bottom"/>
          </w:tcPr>
          <w:p>
            <w:pPr>
              <w:ind w:left="100"/>
              <w:spacing w:after="0"/>
              <w:rPr>
                <w:sz w:val="20"/>
                <w:szCs w:val="20"/>
                <w:color w:val="auto"/>
              </w:rPr>
            </w:pPr>
            <w:r>
              <w:rPr>
                <w:rFonts w:ascii="Times New Roman" w:cs="Times New Roman" w:eastAsia="Times New Roman" w:hAnsi="Times New Roman"/>
                <w:sz w:val="20"/>
                <w:szCs w:val="20"/>
                <w:color w:val="242424"/>
                <w:w w:val="99"/>
              </w:rPr>
              <w:t>3929</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242424"/>
              </w:rPr>
              <w:t>Westpoint Blvd</w:t>
            </w:r>
          </w:p>
        </w:tc>
        <w:tc>
          <w:tcPr>
            <w:tcW w:w="3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All Stick Label L.L.C</w:t>
            </w: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$5,859.18</w:t>
            </w:r>
          </w:p>
        </w:tc>
      </w:tr>
      <w:tr>
        <w:trPr>
          <w:trHeight w:val="201"/>
        </w:trPr>
        <w:tc>
          <w:tcPr>
            <w:tcW w:w="1440" w:type="dxa"/>
            <w:vAlign w:val="bottom"/>
            <w:tcBorders>
              <w:left w:val="single" w:sz="8" w:color="auto"/>
              <w:bottom w:val="single" w:sz="8" w:color="auto"/>
              <w:right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r>
      <w:tr>
        <w:trPr>
          <w:trHeight w:val="252"/>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bt42462</w:t>
            </w:r>
          </w:p>
        </w:tc>
        <w:tc>
          <w:tcPr>
            <w:tcW w:w="520" w:type="dxa"/>
            <w:vAlign w:val="bottom"/>
          </w:tcPr>
          <w:p>
            <w:pPr>
              <w:ind w:left="100"/>
              <w:spacing w:after="0"/>
              <w:rPr>
                <w:sz w:val="20"/>
                <w:szCs w:val="20"/>
                <w:color w:val="auto"/>
              </w:rPr>
            </w:pPr>
            <w:r>
              <w:rPr>
                <w:rFonts w:ascii="Times New Roman" w:cs="Times New Roman" w:eastAsia="Times New Roman" w:hAnsi="Times New Roman"/>
                <w:sz w:val="20"/>
                <w:szCs w:val="20"/>
                <w:color w:val="242424"/>
                <w:w w:val="99"/>
              </w:rPr>
              <w:t>3929</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242424"/>
              </w:rPr>
              <w:t>Westpoint Blvd</w:t>
            </w:r>
          </w:p>
        </w:tc>
        <w:tc>
          <w:tcPr>
            <w:tcW w:w="3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Inmar Inc.</w:t>
            </w: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$27,178.03</w:t>
            </w:r>
          </w:p>
        </w:tc>
      </w:tr>
      <w:tr>
        <w:trPr>
          <w:trHeight w:val="201"/>
        </w:trPr>
        <w:tc>
          <w:tcPr>
            <w:tcW w:w="1440" w:type="dxa"/>
            <w:vAlign w:val="bottom"/>
            <w:tcBorders>
              <w:left w:val="single" w:sz="8" w:color="auto"/>
              <w:bottom w:val="single" w:sz="8" w:color="auto"/>
              <w:right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r>
      <w:tr>
        <w:trPr>
          <w:trHeight w:val="252"/>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bt42463</w:t>
            </w:r>
          </w:p>
        </w:tc>
        <w:tc>
          <w:tcPr>
            <w:tcW w:w="5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2598</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Empire Drive</w:t>
            </w:r>
          </w:p>
        </w:tc>
        <w:tc>
          <w:tcPr>
            <w:tcW w:w="3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Storopack Inc.</w:t>
            </w: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$10,293.33</w:t>
            </w:r>
          </w:p>
        </w:tc>
      </w:tr>
      <w:tr>
        <w:trPr>
          <w:trHeight w:val="201"/>
        </w:trPr>
        <w:tc>
          <w:tcPr>
            <w:tcW w:w="1440" w:type="dxa"/>
            <w:vAlign w:val="bottom"/>
            <w:tcBorders>
              <w:left w:val="single" w:sz="8" w:color="auto"/>
              <w:bottom w:val="single" w:sz="8" w:color="auto"/>
              <w:right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r>
      <w:tr>
        <w:trPr>
          <w:trHeight w:val="252"/>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bt42463</w:t>
            </w:r>
          </w:p>
        </w:tc>
        <w:tc>
          <w:tcPr>
            <w:tcW w:w="5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2598</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Empire Drive</w:t>
            </w:r>
          </w:p>
        </w:tc>
        <w:tc>
          <w:tcPr>
            <w:tcW w:w="3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ProKidney, LLC</w:t>
            </w: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$561,826.00</w:t>
            </w:r>
          </w:p>
        </w:tc>
      </w:tr>
      <w:tr>
        <w:trPr>
          <w:trHeight w:val="201"/>
        </w:trPr>
        <w:tc>
          <w:tcPr>
            <w:tcW w:w="1440" w:type="dxa"/>
            <w:vAlign w:val="bottom"/>
            <w:tcBorders>
              <w:left w:val="single" w:sz="8" w:color="auto"/>
              <w:bottom w:val="single" w:sz="8" w:color="auto"/>
              <w:right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5(b)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SELLER’S LEASING COSTS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1400" w:type="dxa"/>
            <w:vAlign w:val="bottom"/>
            <w:tcBorders>
              <w:top w:val="single" w:sz="8" w:color="auto"/>
              <w:left w:val="single" w:sz="8" w:color="auto"/>
              <w:bottom w:val="single" w:sz="8" w:color="auto"/>
              <w:right w:val="single" w:sz="8" w:color="auto"/>
            </w:tcBorders>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Asset ID</w:t>
            </w:r>
          </w:p>
        </w:tc>
        <w:tc>
          <w:tcPr>
            <w:tcW w:w="2760" w:type="dxa"/>
            <w:vAlign w:val="bottom"/>
            <w:tcBorders>
              <w:top w:val="single" w:sz="8" w:color="auto"/>
              <w:bottom w:val="single" w:sz="8" w:color="auto"/>
            </w:tcBorders>
            <w:shd w:val="clear" w:color="auto" w:fill="0070C0"/>
          </w:tcPr>
          <w:p>
            <w:pPr>
              <w:ind w:left="1480"/>
              <w:spacing w:after="0"/>
              <w:rPr>
                <w:sz w:val="20"/>
                <w:szCs w:val="20"/>
                <w:color w:val="auto"/>
              </w:rPr>
            </w:pPr>
            <w:r>
              <w:rPr>
                <w:rFonts w:ascii="Times New Roman" w:cs="Times New Roman" w:eastAsia="Times New Roman" w:hAnsi="Times New Roman"/>
                <w:sz w:val="20"/>
                <w:szCs w:val="20"/>
                <w:b w:val="1"/>
                <w:bCs w:val="1"/>
                <w:color w:val="FFFFFF"/>
              </w:rPr>
              <w:t>Property</w:t>
            </w:r>
          </w:p>
        </w:tc>
        <w:tc>
          <w:tcPr>
            <w:tcW w:w="1020" w:type="dxa"/>
            <w:vAlign w:val="bottom"/>
            <w:tcBorders>
              <w:top w:val="single" w:sz="8" w:color="auto"/>
              <w:bottom w:val="single" w:sz="8" w:color="auto"/>
              <w:right w:val="single" w:sz="8" w:color="auto"/>
            </w:tcBorders>
            <w:shd w:val="clear" w:color="auto" w:fill="0070C0"/>
          </w:tcPr>
          <w:p>
            <w:pPr>
              <w:spacing w:after="0"/>
              <w:rPr>
                <w:sz w:val="24"/>
                <w:szCs w:val="24"/>
                <w:color w:val="auto"/>
              </w:rPr>
            </w:pPr>
          </w:p>
        </w:tc>
        <w:tc>
          <w:tcPr>
            <w:tcW w:w="3040" w:type="dxa"/>
            <w:vAlign w:val="bottom"/>
            <w:tcBorders>
              <w:top w:val="single" w:sz="8" w:color="auto"/>
              <w:bottom w:val="single" w:sz="8" w:color="auto"/>
              <w:right w:val="single" w:sz="8" w:color="auto"/>
            </w:tcBorders>
            <w:gridSpan w:val="2"/>
            <w:shd w:val="clear" w:color="auto" w:fill="0070C0"/>
          </w:tcPr>
          <w:p>
            <w:pPr>
              <w:ind w:left="1160"/>
              <w:spacing w:after="0"/>
              <w:rPr>
                <w:sz w:val="20"/>
                <w:szCs w:val="20"/>
                <w:color w:val="auto"/>
              </w:rPr>
            </w:pPr>
            <w:r>
              <w:rPr>
                <w:rFonts w:ascii="Times New Roman" w:cs="Times New Roman" w:eastAsia="Times New Roman" w:hAnsi="Times New Roman"/>
                <w:sz w:val="20"/>
                <w:szCs w:val="20"/>
                <w:b w:val="1"/>
                <w:bCs w:val="1"/>
                <w:color w:val="FFFFFF"/>
              </w:rPr>
              <w:t>Tenants</w:t>
            </w:r>
          </w:p>
        </w:tc>
        <w:tc>
          <w:tcPr>
            <w:tcW w:w="3020" w:type="dxa"/>
            <w:vAlign w:val="bottom"/>
            <w:tcBorders>
              <w:top w:val="single" w:sz="8" w:color="auto"/>
              <w:bottom w:val="single" w:sz="8" w:color="auto"/>
            </w:tcBorders>
            <w:shd w:val="clear" w:color="auto" w:fill="0070C0"/>
          </w:tcPr>
          <w:p>
            <w:pPr>
              <w:jc w:val="right"/>
              <w:ind w:right="501"/>
              <w:spacing w:after="0"/>
              <w:rPr>
                <w:sz w:val="20"/>
                <w:szCs w:val="20"/>
                <w:color w:val="auto"/>
              </w:rPr>
            </w:pPr>
            <w:r>
              <w:rPr>
                <w:rFonts w:ascii="Times New Roman" w:cs="Times New Roman" w:eastAsia="Times New Roman" w:hAnsi="Times New Roman"/>
                <w:sz w:val="20"/>
                <w:szCs w:val="20"/>
                <w:b w:val="1"/>
                <w:bCs w:val="1"/>
                <w:color w:val="FFFFFF"/>
              </w:rPr>
              <w:t>Seller’s Leasing Costs</w:t>
            </w:r>
          </w:p>
        </w:tc>
      </w:tr>
      <w:tr>
        <w:trPr>
          <w:trHeight w:val="208"/>
        </w:trPr>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60" w:type="dxa"/>
            <w:vAlign w:val="bottom"/>
            <w:gridSpan w:val="3"/>
          </w:tcPr>
          <w:p>
            <w:pPr>
              <w:jc w:val="center"/>
              <w:ind w:right="820"/>
              <w:spacing w:after="0" w:line="208" w:lineRule="exact"/>
              <w:rPr>
                <w:sz w:val="20"/>
                <w:szCs w:val="20"/>
                <w:color w:val="auto"/>
              </w:rPr>
            </w:pPr>
            <w:r>
              <w:rPr>
                <w:rFonts w:ascii="Times New Roman" w:cs="Times New Roman" w:eastAsia="Times New Roman" w:hAnsi="Times New Roman"/>
                <w:sz w:val="20"/>
                <w:szCs w:val="20"/>
                <w:b w:val="1"/>
                <w:bCs w:val="1"/>
                <w:color w:val="auto"/>
                <w:w w:val="98"/>
              </w:rPr>
              <w:t>Tenant Improvement Allowance (TTI)</w:t>
            </w:r>
          </w:p>
        </w:tc>
        <w:tc>
          <w:tcPr>
            <w:tcW w:w="3020" w:type="dxa"/>
            <w:vAlign w:val="bottom"/>
          </w:tcPr>
          <w:p>
            <w:pPr>
              <w:spacing w:after="0"/>
              <w:rPr>
                <w:sz w:val="18"/>
                <w:szCs w:val="18"/>
                <w:color w:val="auto"/>
              </w:rPr>
            </w:pPr>
          </w:p>
        </w:tc>
      </w:tr>
      <w:tr>
        <w:trPr>
          <w:trHeight w:val="21"/>
        </w:trPr>
        <w:tc>
          <w:tcPr>
            <w:tcW w:w="14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r>
      <w:tr>
        <w:trPr>
          <w:trHeight w:val="252"/>
        </w:trPr>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bt42463</w:t>
            </w:r>
          </w:p>
        </w:tc>
        <w:tc>
          <w:tcPr>
            <w:tcW w:w="2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2598 Empire Drive</w:t>
            </w:r>
          </w:p>
        </w:tc>
        <w:tc>
          <w:tcPr>
            <w:tcW w:w="1020" w:type="dxa"/>
            <w:vAlign w:val="bottom"/>
            <w:tcBorders>
              <w:right w:val="single" w:sz="8" w:color="auto"/>
            </w:tcBorders>
          </w:tcPr>
          <w:p>
            <w:pPr>
              <w:spacing w:after="0"/>
              <w:rPr>
                <w:sz w:val="21"/>
                <w:szCs w:val="21"/>
                <w:color w:val="auto"/>
              </w:rPr>
            </w:pPr>
          </w:p>
        </w:tc>
        <w:tc>
          <w:tcPr>
            <w:tcW w:w="3040" w:type="dxa"/>
            <w:vAlign w:val="bottom"/>
            <w:tcBorders>
              <w:right w:val="single" w:sz="8" w:color="auto"/>
            </w:tcBorders>
            <w:gridSpan w:val="2"/>
          </w:tcPr>
          <w:p>
            <w:pPr>
              <w:jc w:val="center"/>
              <w:ind w:right="1820"/>
              <w:spacing w:after="0"/>
              <w:rPr>
                <w:sz w:val="20"/>
                <w:szCs w:val="20"/>
                <w:color w:val="auto"/>
              </w:rPr>
            </w:pPr>
            <w:r>
              <w:rPr>
                <w:rFonts w:ascii="Times New Roman" w:cs="Times New Roman" w:eastAsia="Times New Roman" w:hAnsi="Times New Roman"/>
                <w:sz w:val="20"/>
                <w:szCs w:val="20"/>
                <w:color w:val="auto"/>
                <w:w w:val="99"/>
              </w:rPr>
              <w:t>ProKidney</w:t>
            </w:r>
          </w:p>
        </w:tc>
        <w:tc>
          <w:tcPr>
            <w:tcW w:w="3020" w:type="dxa"/>
            <w:vAlign w:val="bottom"/>
          </w:tcPr>
          <w:p>
            <w:pPr>
              <w:jc w:val="right"/>
              <w:ind w:right="1841"/>
              <w:spacing w:after="0"/>
              <w:rPr>
                <w:sz w:val="20"/>
                <w:szCs w:val="20"/>
                <w:color w:val="auto"/>
              </w:rPr>
            </w:pPr>
            <w:r>
              <w:rPr>
                <w:rFonts w:ascii="Times New Roman" w:cs="Times New Roman" w:eastAsia="Times New Roman" w:hAnsi="Times New Roman"/>
                <w:sz w:val="20"/>
                <w:szCs w:val="20"/>
                <w:color w:val="auto"/>
              </w:rPr>
              <w:t>$57,600.00</w:t>
            </w:r>
          </w:p>
        </w:tc>
      </w:tr>
      <w:tr>
        <w:trPr>
          <w:trHeight w:val="201"/>
        </w:trPr>
        <w:tc>
          <w:tcPr>
            <w:tcW w:w="140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302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-676910</wp:posOffset>
            </wp:positionV>
            <wp:extent cx="7132320" cy="1405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7">
                      <a:extLst>
                        <a:ext uri="{28A0092B-C50C-407E-A947-70E740481C1C}"/>
                      </a:extLst>
                    </a:blip>
                    <a:srcRect/>
                    <a:stretch>
                      <a:fillRect/>
                    </a:stretch>
                  </pic:blipFill>
                  <pic:spPr bwMode="auto">
                    <a:xfrm>
                      <a:off x="0" y="0"/>
                      <a:ext cx="7132320" cy="1405890"/>
                    </a:xfrm>
                    <a:prstGeom prst="rect">
                      <a:avLst/>
                    </a:prstGeom>
                    <a:noFill/>
                  </pic:spPr>
                </pic:pic>
              </a:graphicData>
            </a:graphic>
          </wp:anchor>
        </w:drawing>
      </w:r>
    </w:p>
    <w:p>
      <w:pPr>
        <w:jc w:val="center"/>
        <w:ind w:right="-299"/>
        <w:spacing w:after="0"/>
        <w:rPr>
          <w:sz w:val="20"/>
          <w:szCs w:val="20"/>
          <w:color w:val="auto"/>
        </w:rPr>
      </w:pPr>
      <w:r>
        <w:rPr>
          <w:rFonts w:ascii="Times New Roman" w:cs="Times New Roman" w:eastAsia="Times New Roman" w:hAnsi="Times New Roman"/>
          <w:sz w:val="20"/>
          <w:szCs w:val="20"/>
          <w:b w:val="1"/>
          <w:bCs w:val="1"/>
          <w:u w:val="single" w:color="auto"/>
          <w:color w:val="auto"/>
        </w:rPr>
        <w:t>Landlord Work (LTI)</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NONE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Leasing Commissions (LC)</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4" w:name="page245"/>
    <w:bookmarkEnd w:id="244"/>
    <w:tbl>
      <w:tblPr>
        <w:tblLayout w:type="fixed"/>
        <w:tblInd w:w="10" w:type="dxa"/>
        <w:tblCellMar>
          <w:top w:w="0" w:type="dxa"/>
          <w:left w:w="0" w:type="dxa"/>
          <w:bottom w:w="0" w:type="dxa"/>
          <w:right w:w="0" w:type="dxa"/>
        </w:tblCellMar>
      </w:tblPr>
      <w:tr>
        <w:trPr>
          <w:trHeight w:val="230"/>
        </w:trPr>
        <w:tc>
          <w:tcPr>
            <w:tcW w:w="4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gridSpan w:val="3"/>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w w:val="99"/>
              </w:rPr>
              <w:t>SCHEDULE 5(f)</w:t>
            </w:r>
          </w:p>
        </w:tc>
        <w:tc>
          <w:tcPr>
            <w:tcW w:w="454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426"/>
        </w:trPr>
        <w:tc>
          <w:tcPr>
            <w:tcW w:w="4540" w:type="dxa"/>
            <w:vAlign w:val="bottom"/>
          </w:tcPr>
          <w:p>
            <w:pPr>
              <w:spacing w:after="0"/>
              <w:rPr>
                <w:sz w:val="24"/>
                <w:szCs w:val="24"/>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TRANSACTION COSTS</w:t>
            </w:r>
          </w:p>
        </w:tc>
        <w:tc>
          <w:tcPr>
            <w:tcW w:w="4540" w:type="dxa"/>
            <w:vAlign w:val="bottom"/>
          </w:tcPr>
          <w:p>
            <w:pPr>
              <w:spacing w:after="0"/>
              <w:rPr>
                <w:sz w:val="24"/>
                <w:szCs w:val="24"/>
                <w:color w:val="auto"/>
              </w:rPr>
            </w:pPr>
          </w:p>
        </w:tc>
      </w:tr>
      <w:tr>
        <w:trPr>
          <w:trHeight w:val="233"/>
        </w:trPr>
        <w:tc>
          <w:tcPr>
            <w:tcW w:w="4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p>
        </w:tc>
      </w:tr>
      <w:tr>
        <w:trPr>
          <w:trHeight w:val="273"/>
        </w:trPr>
        <w:tc>
          <w:tcPr>
            <w:tcW w:w="56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Cost</w:t>
            </w: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540" w:type="dxa"/>
            <w:vAlign w:val="bottom"/>
            <w:tcBorders>
              <w:right w:val="single" w:sz="8" w:color="auto"/>
            </w:tcBorders>
          </w:tcPr>
          <w:p>
            <w:pPr>
              <w:jc w:val="center"/>
              <w:ind w:right="981"/>
              <w:spacing w:after="0"/>
              <w:rPr>
                <w:sz w:val="20"/>
                <w:szCs w:val="20"/>
                <w:color w:val="auto"/>
              </w:rPr>
            </w:pPr>
            <w:r>
              <w:rPr>
                <w:rFonts w:ascii="Times New Roman" w:cs="Times New Roman" w:eastAsia="Times New Roman" w:hAnsi="Times New Roman"/>
                <w:sz w:val="20"/>
                <w:szCs w:val="20"/>
                <w:b w:val="1"/>
                <w:bCs w:val="1"/>
                <w:color w:val="auto"/>
                <w:w w:val="99"/>
              </w:rPr>
              <w:t>Responsible Party</w:t>
            </w:r>
          </w:p>
        </w:tc>
      </w:tr>
      <w:tr>
        <w:trPr>
          <w:trHeight w:val="220"/>
        </w:trPr>
        <w:tc>
          <w:tcPr>
            <w:tcW w:w="454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19"/>
                <w:szCs w:val="19"/>
                <w:color w:val="auto"/>
              </w:rPr>
            </w:pPr>
          </w:p>
        </w:tc>
      </w:tr>
      <w:tr>
        <w:trPr>
          <w:trHeight w:val="244"/>
        </w:trPr>
        <w:tc>
          <w:tcPr>
            <w:tcW w:w="56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Documentary stamp taxes, transfer taxes and other state, county,</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540" w:type="dxa"/>
            <w:vAlign w:val="bottom"/>
            <w:tcBorders>
              <w:right w:val="single" w:sz="8" w:color="auto"/>
            </w:tcBorders>
          </w:tcPr>
          <w:p>
            <w:pPr>
              <w:jc w:val="center"/>
              <w:ind w:right="981"/>
              <w:spacing w:after="0"/>
              <w:rPr>
                <w:sz w:val="20"/>
                <w:szCs w:val="20"/>
                <w:color w:val="auto"/>
              </w:rPr>
            </w:pPr>
            <w:r>
              <w:rPr>
                <w:rFonts w:ascii="Times New Roman" w:cs="Times New Roman" w:eastAsia="Times New Roman" w:hAnsi="Times New Roman"/>
                <w:sz w:val="20"/>
                <w:szCs w:val="20"/>
                <w:color w:val="auto"/>
                <w:w w:val="98"/>
              </w:rPr>
              <w:t>Seller: 100%</w:t>
            </w:r>
          </w:p>
        </w:tc>
      </w:tr>
      <w:tr>
        <w:trPr>
          <w:trHeight w:val="258"/>
        </w:trPr>
        <w:tc>
          <w:tcPr>
            <w:tcW w:w="56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and city taxes</w:t>
            </w: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540" w:type="dxa"/>
            <w:vAlign w:val="bottom"/>
            <w:tcBorders>
              <w:right w:val="single" w:sz="8" w:color="auto"/>
            </w:tcBorders>
          </w:tcPr>
          <w:p>
            <w:pPr>
              <w:spacing w:after="0"/>
              <w:rPr>
                <w:sz w:val="22"/>
                <w:szCs w:val="22"/>
                <w:color w:val="auto"/>
              </w:rPr>
            </w:pPr>
          </w:p>
        </w:tc>
      </w:tr>
      <w:tr>
        <w:trPr>
          <w:trHeight w:val="223"/>
        </w:trPr>
        <w:tc>
          <w:tcPr>
            <w:tcW w:w="454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19"/>
                <w:szCs w:val="19"/>
                <w:color w:val="auto"/>
              </w:rPr>
            </w:pPr>
          </w:p>
        </w:tc>
      </w:tr>
      <w:tr>
        <w:trPr>
          <w:trHeight w:val="241"/>
        </w:trPr>
        <w:tc>
          <w:tcPr>
            <w:tcW w:w="56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Recording fees of Deed and any instrument which releases or</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40" w:type="dxa"/>
            <w:vAlign w:val="bottom"/>
            <w:tcBorders>
              <w:right w:val="single" w:sz="8" w:color="auto"/>
            </w:tcBorders>
          </w:tcPr>
          <w:p>
            <w:pPr>
              <w:jc w:val="center"/>
              <w:ind w:right="981"/>
              <w:spacing w:after="0"/>
              <w:rPr>
                <w:sz w:val="20"/>
                <w:szCs w:val="20"/>
                <w:color w:val="auto"/>
              </w:rPr>
            </w:pPr>
            <w:r>
              <w:rPr>
                <w:rFonts w:ascii="Times New Roman" w:cs="Times New Roman" w:eastAsia="Times New Roman" w:hAnsi="Times New Roman"/>
                <w:sz w:val="20"/>
                <w:szCs w:val="20"/>
                <w:color w:val="auto"/>
                <w:w w:val="98"/>
              </w:rPr>
              <w:t>Seller: 100%</w:t>
            </w:r>
          </w:p>
        </w:tc>
      </w:tr>
      <w:tr>
        <w:trPr>
          <w:trHeight w:val="258"/>
        </w:trPr>
        <w:tc>
          <w:tcPr>
            <w:tcW w:w="56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discharges Mandatory Cure Items</w:t>
            </w: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540" w:type="dxa"/>
            <w:vAlign w:val="bottom"/>
            <w:tcBorders>
              <w:right w:val="single" w:sz="8" w:color="auto"/>
            </w:tcBorders>
          </w:tcPr>
          <w:p>
            <w:pPr>
              <w:spacing w:after="0"/>
              <w:rPr>
                <w:sz w:val="22"/>
                <w:szCs w:val="22"/>
                <w:color w:val="auto"/>
              </w:rPr>
            </w:pPr>
          </w:p>
        </w:tc>
      </w:tr>
      <w:tr>
        <w:trPr>
          <w:trHeight w:val="223"/>
        </w:trPr>
        <w:tc>
          <w:tcPr>
            <w:tcW w:w="454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19"/>
                <w:szCs w:val="19"/>
                <w:color w:val="auto"/>
              </w:rPr>
            </w:pPr>
          </w:p>
        </w:tc>
      </w:tr>
      <w:tr>
        <w:trPr>
          <w:trHeight w:val="269"/>
        </w:trPr>
        <w:tc>
          <w:tcPr>
            <w:tcW w:w="56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Recording fees (other than those noted above)</w:t>
            </w: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540" w:type="dxa"/>
            <w:vAlign w:val="bottom"/>
            <w:tcBorders>
              <w:right w:val="single" w:sz="8" w:color="auto"/>
            </w:tcBorders>
          </w:tcPr>
          <w:p>
            <w:pPr>
              <w:jc w:val="center"/>
              <w:ind w:right="981"/>
              <w:spacing w:after="0"/>
              <w:rPr>
                <w:sz w:val="20"/>
                <w:szCs w:val="20"/>
                <w:color w:val="auto"/>
              </w:rPr>
            </w:pPr>
            <w:r>
              <w:rPr>
                <w:rFonts w:ascii="Times New Roman" w:cs="Times New Roman" w:eastAsia="Times New Roman" w:hAnsi="Times New Roman"/>
                <w:sz w:val="20"/>
                <w:szCs w:val="20"/>
                <w:color w:val="auto"/>
                <w:w w:val="98"/>
              </w:rPr>
              <w:t>Purchaser: 100%</w:t>
            </w:r>
          </w:p>
        </w:tc>
      </w:tr>
      <w:tr>
        <w:trPr>
          <w:trHeight w:val="223"/>
        </w:trPr>
        <w:tc>
          <w:tcPr>
            <w:tcW w:w="454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19"/>
                <w:szCs w:val="19"/>
                <w:color w:val="auto"/>
              </w:rPr>
            </w:pPr>
          </w:p>
        </w:tc>
      </w:tr>
      <w:tr>
        <w:trPr>
          <w:trHeight w:val="241"/>
        </w:trPr>
        <w:tc>
          <w:tcPr>
            <w:tcW w:w="56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Escrow</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40" w:type="dxa"/>
            <w:vAlign w:val="bottom"/>
            <w:tcBorders>
              <w:right w:val="single" w:sz="8" w:color="auto"/>
            </w:tcBorders>
          </w:tcPr>
          <w:p>
            <w:pPr>
              <w:jc w:val="center"/>
              <w:ind w:right="1001"/>
              <w:spacing w:after="0"/>
              <w:rPr>
                <w:sz w:val="20"/>
                <w:szCs w:val="20"/>
                <w:color w:val="auto"/>
              </w:rPr>
            </w:pPr>
            <w:r>
              <w:rPr>
                <w:rFonts w:ascii="Times New Roman" w:cs="Times New Roman" w:eastAsia="Times New Roman" w:hAnsi="Times New Roman"/>
                <w:sz w:val="20"/>
                <w:szCs w:val="20"/>
                <w:color w:val="auto"/>
                <w:w w:val="97"/>
              </w:rPr>
              <w:t>Seller: 50%</w:t>
            </w:r>
          </w:p>
        </w:tc>
      </w:tr>
      <w:tr>
        <w:trPr>
          <w:trHeight w:val="258"/>
        </w:trPr>
        <w:tc>
          <w:tcPr>
            <w:tcW w:w="4540" w:type="dxa"/>
            <w:vAlign w:val="bottom"/>
            <w:tcBorders>
              <w:lef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540" w:type="dxa"/>
            <w:vAlign w:val="bottom"/>
            <w:tcBorders>
              <w:right w:val="single" w:sz="8" w:color="auto"/>
            </w:tcBorders>
          </w:tcPr>
          <w:p>
            <w:pPr>
              <w:jc w:val="center"/>
              <w:ind w:right="1001"/>
              <w:spacing w:after="0"/>
              <w:rPr>
                <w:sz w:val="20"/>
                <w:szCs w:val="20"/>
                <w:color w:val="auto"/>
              </w:rPr>
            </w:pPr>
            <w:r>
              <w:rPr>
                <w:rFonts w:ascii="Times New Roman" w:cs="Times New Roman" w:eastAsia="Times New Roman" w:hAnsi="Times New Roman"/>
                <w:sz w:val="20"/>
                <w:szCs w:val="20"/>
                <w:color w:val="auto"/>
                <w:w w:val="98"/>
              </w:rPr>
              <w:t>Purchaser: 50%</w:t>
            </w:r>
          </w:p>
        </w:tc>
      </w:tr>
      <w:tr>
        <w:trPr>
          <w:trHeight w:val="223"/>
        </w:trPr>
        <w:tc>
          <w:tcPr>
            <w:tcW w:w="454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19"/>
                <w:szCs w:val="19"/>
                <w:color w:val="auto"/>
              </w:rPr>
            </w:pPr>
          </w:p>
        </w:tc>
      </w:tr>
      <w:tr>
        <w:trPr>
          <w:trHeight w:val="241"/>
        </w:trPr>
        <w:tc>
          <w:tcPr>
            <w:tcW w:w="56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Premium for Owner’s Policy and any endorsements to Owner’s</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40" w:type="dxa"/>
            <w:vAlign w:val="bottom"/>
            <w:tcBorders>
              <w:right w:val="single" w:sz="8" w:color="auto"/>
            </w:tcBorders>
          </w:tcPr>
          <w:p>
            <w:pPr>
              <w:jc w:val="center"/>
              <w:ind w:right="981"/>
              <w:spacing w:after="0"/>
              <w:rPr>
                <w:sz w:val="20"/>
                <w:szCs w:val="20"/>
                <w:color w:val="auto"/>
              </w:rPr>
            </w:pPr>
            <w:r>
              <w:rPr>
                <w:rFonts w:ascii="Times New Roman" w:cs="Times New Roman" w:eastAsia="Times New Roman" w:hAnsi="Times New Roman"/>
                <w:sz w:val="20"/>
                <w:szCs w:val="20"/>
                <w:color w:val="auto"/>
                <w:w w:val="98"/>
              </w:rPr>
              <w:t>Purchaser: 100%</w:t>
            </w:r>
          </w:p>
        </w:tc>
      </w:tr>
      <w:tr>
        <w:trPr>
          <w:trHeight w:val="258"/>
        </w:trPr>
        <w:tc>
          <w:tcPr>
            <w:tcW w:w="56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7"/>
              </w:rPr>
              <w:t>Policy</w:t>
            </w: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540" w:type="dxa"/>
            <w:vAlign w:val="bottom"/>
            <w:tcBorders>
              <w:right w:val="single" w:sz="8" w:color="auto"/>
            </w:tcBorders>
          </w:tcPr>
          <w:p>
            <w:pPr>
              <w:spacing w:after="0"/>
              <w:rPr>
                <w:sz w:val="22"/>
                <w:szCs w:val="22"/>
                <w:color w:val="auto"/>
              </w:rPr>
            </w:pPr>
          </w:p>
        </w:tc>
      </w:tr>
      <w:tr>
        <w:trPr>
          <w:trHeight w:val="223"/>
        </w:trPr>
        <w:tc>
          <w:tcPr>
            <w:tcW w:w="454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19"/>
                <w:szCs w:val="19"/>
                <w:color w:val="auto"/>
              </w:rPr>
            </w:pPr>
          </w:p>
        </w:tc>
      </w:tr>
      <w:tr>
        <w:trPr>
          <w:trHeight w:val="269"/>
        </w:trPr>
        <w:tc>
          <w:tcPr>
            <w:tcW w:w="56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Survey</w:t>
            </w: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540" w:type="dxa"/>
            <w:vAlign w:val="bottom"/>
            <w:tcBorders>
              <w:right w:val="single" w:sz="8" w:color="auto"/>
            </w:tcBorders>
          </w:tcPr>
          <w:p>
            <w:pPr>
              <w:jc w:val="center"/>
              <w:ind w:right="981"/>
              <w:spacing w:after="0"/>
              <w:rPr>
                <w:sz w:val="20"/>
                <w:szCs w:val="20"/>
                <w:color w:val="auto"/>
              </w:rPr>
            </w:pPr>
            <w:r>
              <w:rPr>
                <w:rFonts w:ascii="Times New Roman" w:cs="Times New Roman" w:eastAsia="Times New Roman" w:hAnsi="Times New Roman"/>
                <w:sz w:val="20"/>
                <w:szCs w:val="20"/>
                <w:color w:val="auto"/>
                <w:w w:val="98"/>
              </w:rPr>
              <w:t>Purchaser: 100%</w:t>
            </w:r>
          </w:p>
        </w:tc>
      </w:tr>
      <w:tr>
        <w:trPr>
          <w:trHeight w:val="224"/>
        </w:trPr>
        <w:tc>
          <w:tcPr>
            <w:tcW w:w="454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19"/>
                <w:szCs w:val="19"/>
                <w:color w:val="auto"/>
              </w:rPr>
            </w:pPr>
          </w:p>
        </w:tc>
      </w:tr>
      <w:tr>
        <w:trPr>
          <w:trHeight w:val="270"/>
        </w:trPr>
        <w:tc>
          <w:tcPr>
            <w:tcW w:w="56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Zoning Report</w:t>
            </w: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540" w:type="dxa"/>
            <w:vAlign w:val="bottom"/>
            <w:tcBorders>
              <w:right w:val="single" w:sz="8" w:color="auto"/>
            </w:tcBorders>
          </w:tcPr>
          <w:p>
            <w:pPr>
              <w:jc w:val="center"/>
              <w:ind w:right="981"/>
              <w:spacing w:after="0"/>
              <w:rPr>
                <w:sz w:val="20"/>
                <w:szCs w:val="20"/>
                <w:color w:val="auto"/>
              </w:rPr>
            </w:pPr>
            <w:r>
              <w:rPr>
                <w:rFonts w:ascii="Times New Roman" w:cs="Times New Roman" w:eastAsia="Times New Roman" w:hAnsi="Times New Roman"/>
                <w:sz w:val="20"/>
                <w:szCs w:val="20"/>
                <w:color w:val="auto"/>
                <w:w w:val="98"/>
              </w:rPr>
              <w:t>Purchaser: 100%</w:t>
            </w:r>
          </w:p>
        </w:tc>
      </w:tr>
      <w:tr>
        <w:trPr>
          <w:trHeight w:val="223"/>
        </w:trPr>
        <w:tc>
          <w:tcPr>
            <w:tcW w:w="454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Format=&lt;&lt;NUM&gt;&gt;.v&lt;&lt;VER&gt;&gt; PRESERVELOCATION \* MERGEFORMAT 2693753.v6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45" w:name="page246"/>
    <w:bookmarkEnd w:id="245"/>
    <w:p>
      <w:pPr>
        <w:ind w:left="10020"/>
        <w:spacing w:after="0"/>
        <w:rPr>
          <w:sz w:val="20"/>
          <w:szCs w:val="20"/>
          <w:color w:val="auto"/>
        </w:rPr>
      </w:pPr>
      <w:r>
        <w:rPr>
          <w:rFonts w:ascii="Times New Roman" w:cs="Times New Roman" w:eastAsia="Times New Roman" w:hAnsi="Times New Roman"/>
          <w:sz w:val="21"/>
          <w:szCs w:val="21"/>
          <w:b w:val="1"/>
          <w:bCs w:val="1"/>
          <w:color w:val="auto"/>
        </w:rPr>
        <w:t>Exhibit 10.21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PROKIDNEY CORP.</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23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ProKidney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approved the following Non-Employee Director Compensation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to provide an inducement to obtain and retain the services of qualified persons to serve as members of the Company’s Board. The Policy establishes compensation to be paid to non-employee directors of the Company.</w:t>
      </w:r>
    </w:p>
    <w:p>
      <w:pPr>
        <w:spacing w:after="0" w:line="182" w:lineRule="exact"/>
        <w:rPr>
          <w:sz w:val="20"/>
          <w:szCs w:val="20"/>
          <w:color w:val="auto"/>
        </w:rPr>
      </w:pPr>
    </w:p>
    <w:p>
      <w:pPr>
        <w:ind w:left="760" w:hanging="752"/>
        <w:spacing w:after="0"/>
        <w:tabs>
          <w:tab w:leader="none" w:pos="760"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Applicable Persons</w:t>
      </w:r>
    </w:p>
    <w:p>
      <w:pPr>
        <w:spacing w:after="0" w:line="233"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This Policy shall apply to each director of the Company who is not an employee of the Company or any Affiliate (each such member, a “</w:t>
      </w:r>
      <w:r>
        <w:rPr>
          <w:rFonts w:ascii="Times New Roman" w:cs="Times New Roman" w:eastAsia="Times New Roman" w:hAnsi="Times New Roman"/>
          <w:sz w:val="20"/>
          <w:szCs w:val="20"/>
          <w:b w:val="1"/>
          <w:bCs w:val="1"/>
          <w:i w:val="1"/>
          <w:iCs w:val="1"/>
          <w:color w:val="auto"/>
        </w:rPr>
        <w:t>Non-Employee Director</w:t>
      </w:r>
      <w:r>
        <w:rPr>
          <w:rFonts w:ascii="Times New Roman" w:cs="Times New Roman" w:eastAsia="Times New Roman" w:hAnsi="Times New Roman"/>
          <w:sz w:val="20"/>
          <w:szCs w:val="20"/>
          <w:color w:val="auto"/>
        </w:rPr>
        <w:t>”). Unless otherwise defined herein, capitalized terms used in this Policy will have the meaning given to such terms in the Company’s 2022 Incentive Equity Plan or any successor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760" w:hanging="752"/>
        <w:spacing w:after="0"/>
        <w:tabs>
          <w:tab w:leader="none" w:pos="760" w:val="left"/>
        </w:tabs>
        <w:numPr>
          <w:ilvl w:val="0"/>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Annual Cash Compensation</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Each Non-Employee Director will be entitled to receive the following annual cash retainers for service on the Board:</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Annual Board Service Retainer</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ind w:left="1880" w:hanging="464"/>
        <w:spacing w:after="0"/>
        <w:tabs>
          <w:tab w:leader="none" w:pos="188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Non-Employee Directors: $40,000</w:t>
      </w:r>
    </w:p>
    <w:p>
      <w:pPr>
        <w:ind w:left="1880" w:hanging="464"/>
        <w:spacing w:after="0"/>
        <w:tabs>
          <w:tab w:leader="none" w:pos="188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Non-Executive Chairperson </w:t>
      </w:r>
      <w:r>
        <w:rPr>
          <w:rFonts w:ascii="Times New Roman" w:cs="Times New Roman" w:eastAsia="Times New Roman" w:hAnsi="Times New Roman"/>
          <w:sz w:val="20"/>
          <w:szCs w:val="20"/>
          <w:i w:val="1"/>
          <w:iCs w:val="1"/>
          <w:color w:val="auto"/>
        </w:rPr>
        <w:t>(additional retainer)</w:t>
      </w:r>
      <w:r>
        <w:rPr>
          <w:rFonts w:ascii="Times New Roman" w:cs="Times New Roman" w:eastAsia="Times New Roman" w:hAnsi="Times New Roman"/>
          <w:sz w:val="20"/>
          <w:szCs w:val="20"/>
          <w:color w:val="auto"/>
        </w:rPr>
        <w:t>: $35,000</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Annual Committee Member Service Retainer</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ind w:left="1880" w:hanging="375"/>
        <w:spacing w:after="0"/>
        <w:tabs>
          <w:tab w:leader="none" w:pos="188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Audit Committee: $10,000</w:t>
      </w:r>
    </w:p>
    <w:p>
      <w:pPr>
        <w:ind w:left="1880" w:hanging="375"/>
        <w:spacing w:after="0"/>
        <w:tabs>
          <w:tab w:leader="none" w:pos="188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Compensation Committee: $7,500</w:t>
      </w:r>
    </w:p>
    <w:p>
      <w:pPr>
        <w:ind w:left="1880" w:hanging="375"/>
        <w:spacing w:after="0"/>
        <w:tabs>
          <w:tab w:leader="none" w:pos="188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Nominating and Corporate Governance Committee: $5,000</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Annual Committee Chair Service Retainer </w:t>
      </w:r>
      <w:r>
        <w:rPr>
          <w:rFonts w:ascii="Times New Roman" w:cs="Times New Roman" w:eastAsia="Times New Roman" w:hAnsi="Times New Roman"/>
          <w:sz w:val="20"/>
          <w:szCs w:val="20"/>
          <w:b w:val="1"/>
          <w:bCs w:val="1"/>
          <w:i w:val="1"/>
          <w:iCs w:val="1"/>
          <w:color w:val="auto"/>
        </w:rPr>
        <w:t>(in lieu of Committee Member Service Retainer)</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ind w:left="1880" w:hanging="375"/>
        <w:spacing w:after="0"/>
        <w:tabs>
          <w:tab w:leader="none" w:pos="188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Chairperson of the Audit Committee: $20,000</w:t>
      </w:r>
    </w:p>
    <w:p>
      <w:pPr>
        <w:ind w:left="1880" w:hanging="375"/>
        <w:spacing w:after="0"/>
        <w:tabs>
          <w:tab w:leader="none" w:pos="188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Chairperson of the Compensation Committee: $15,000</w:t>
      </w:r>
    </w:p>
    <w:p>
      <w:pPr>
        <w:ind w:left="1880" w:hanging="375"/>
        <w:spacing w:after="0"/>
        <w:tabs>
          <w:tab w:leader="none" w:pos="188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Chairperson of the Nominating and Corporate Governance Committee: $10,000</w:t>
      </w:r>
    </w:p>
    <w:p>
      <w:pPr>
        <w:spacing w:after="0" w:line="20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annual cash retainers set forth above will be payable in equal quarterly installments, payable in arrears on the last day of each fiscal quarter (each such date, a “</w:t>
      </w:r>
      <w:r>
        <w:rPr>
          <w:rFonts w:ascii="Times New Roman" w:cs="Times New Roman" w:eastAsia="Times New Roman" w:hAnsi="Times New Roman"/>
          <w:sz w:val="20"/>
          <w:szCs w:val="20"/>
          <w:b w:val="1"/>
          <w:bCs w:val="1"/>
          <w:i w:val="1"/>
          <w:iCs w:val="1"/>
          <w:color w:val="auto"/>
        </w:rPr>
        <w:t>Retainer Accrual Date</w:t>
      </w:r>
      <w:r>
        <w:rPr>
          <w:rFonts w:ascii="Times New Roman" w:cs="Times New Roman" w:eastAsia="Times New Roman" w:hAnsi="Times New Roman"/>
          <w:sz w:val="20"/>
          <w:szCs w:val="20"/>
          <w:color w:val="auto"/>
        </w:rPr>
        <w:t>”) in which the service occurred, prorated for any partial quarter of service (based on the number of days served in the applicable position divided by the total number of days in the quarter). All annual cash fees are vested upon payment.</w:t>
      </w:r>
    </w:p>
    <w:p>
      <w:pPr>
        <w:spacing w:after="0" w:line="189" w:lineRule="exact"/>
        <w:rPr>
          <w:sz w:val="20"/>
          <w:szCs w:val="20"/>
          <w:color w:val="auto"/>
        </w:rPr>
      </w:pPr>
    </w:p>
    <w:p>
      <w:pPr>
        <w:ind w:left="760" w:hanging="752"/>
        <w:spacing w:after="0"/>
        <w:tabs>
          <w:tab w:leader="none" w:pos="760" w:val="left"/>
        </w:tabs>
        <w:numPr>
          <w:ilvl w:val="0"/>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Election to Receive Ordinary Shares in Lieu of Cash Retainer</w:t>
      </w:r>
    </w:p>
    <w:p>
      <w:pPr>
        <w:spacing w:after="0" w:line="215" w:lineRule="exact"/>
        <w:rPr>
          <w:rFonts w:ascii="Times New Roman" w:cs="Times New Roman" w:eastAsia="Times New Roman" w:hAnsi="Times New Roman"/>
          <w:sz w:val="20"/>
          <w:szCs w:val="20"/>
          <w:b w:val="1"/>
          <w:bCs w:val="1"/>
          <w:color w:val="auto"/>
        </w:rPr>
      </w:pPr>
    </w:p>
    <w:p>
      <w:pPr>
        <w:jc w:val="both"/>
        <w:ind w:left="1500" w:hanging="743"/>
        <w:spacing w:after="0" w:line="246" w:lineRule="auto"/>
        <w:tabs>
          <w:tab w:leader="none" w:pos="1500" w:val="left"/>
        </w:tabs>
        <w:numPr>
          <w:ilvl w:val="1"/>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Retainer Grant</w:t>
      </w:r>
      <w:r>
        <w:rPr>
          <w:rFonts w:ascii="Times New Roman" w:cs="Times New Roman" w:eastAsia="Times New Roman" w:hAnsi="Times New Roman"/>
          <w:sz w:val="20"/>
          <w:szCs w:val="20"/>
          <w:color w:val="auto"/>
        </w:rPr>
        <w:t>. Each Non-Employee Director may elect to receive a grant of Class A ordinary shares, $0.0001 par value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Ordinary Shares</w:t>
      </w:r>
      <w:r>
        <w:rPr>
          <w:rFonts w:ascii="Times New Roman" w:cs="Times New Roman" w:eastAsia="Times New Roman" w:hAnsi="Times New Roman"/>
          <w:sz w:val="20"/>
          <w:szCs w:val="20"/>
          <w:color w:val="auto"/>
        </w:rPr>
        <w:t>”), in lieu of the cash compensation set forth in Section II (a “</w:t>
      </w:r>
      <w:r>
        <w:rPr>
          <w:rFonts w:ascii="Times New Roman" w:cs="Times New Roman" w:eastAsia="Times New Roman" w:hAnsi="Times New Roman"/>
          <w:sz w:val="20"/>
          <w:szCs w:val="20"/>
          <w:b w:val="1"/>
          <w:bCs w:val="1"/>
          <w:i w:val="1"/>
          <w:iCs w:val="1"/>
          <w:color w:val="auto"/>
        </w:rPr>
        <w:t>Retainer Grant</w:t>
      </w:r>
      <w:r>
        <w:rPr>
          <w:rFonts w:ascii="Times New Roman" w:cs="Times New Roman" w:eastAsia="Times New Roman" w:hAnsi="Times New Roman"/>
          <w:sz w:val="20"/>
          <w:szCs w:val="20"/>
          <w:color w:val="auto"/>
        </w:rPr>
        <w:t>” and such election, a “</w:t>
      </w:r>
      <w:r>
        <w:rPr>
          <w:rFonts w:ascii="Times New Roman" w:cs="Times New Roman" w:eastAsia="Times New Roman" w:hAnsi="Times New Roman"/>
          <w:sz w:val="20"/>
          <w:szCs w:val="20"/>
          <w:b w:val="1"/>
          <w:bCs w:val="1"/>
          <w:i w:val="1"/>
          <w:iCs w:val="1"/>
          <w:color w:val="auto"/>
        </w:rPr>
        <w:t>Retainer Grant Election</w:t>
      </w:r>
      <w:r>
        <w:rPr>
          <w:rFonts w:ascii="Times New Roman" w:cs="Times New Roman" w:eastAsia="Times New Roman" w:hAnsi="Times New Roman"/>
          <w:sz w:val="20"/>
          <w:szCs w:val="20"/>
          <w:color w:val="auto"/>
        </w:rPr>
        <w:t>”). If a Non-Employee Director timely makes a Retainer Grant Election pursuant to Section III(B) below, then on the first business day following the applicable Retainer Accrual Date, without any further action by the Board, such Non-Employee Director automatically will be granted the number of Ordinary Shares equal to (a) the aggregate amount of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46" w:name="page247"/>
    <w:bookmarkEnd w:id="246"/>
    <w:p>
      <w:pPr>
        <w:spacing w:after="0" w:line="189" w:lineRule="exact"/>
        <w:rPr>
          <w:sz w:val="20"/>
          <w:szCs w:val="20"/>
          <w:color w:val="auto"/>
        </w:rPr>
      </w:pPr>
    </w:p>
    <w:p>
      <w:pPr>
        <w:jc w:val="both"/>
        <w:ind w:left="1500"/>
        <w:spacing w:after="0" w:line="249" w:lineRule="auto"/>
        <w:rPr>
          <w:sz w:val="20"/>
          <w:szCs w:val="20"/>
          <w:color w:val="auto"/>
        </w:rPr>
      </w:pPr>
      <w:r>
        <w:rPr>
          <w:rFonts w:ascii="Times New Roman" w:cs="Times New Roman" w:eastAsia="Times New Roman" w:hAnsi="Times New Roman"/>
          <w:sz w:val="20"/>
          <w:szCs w:val="20"/>
          <w:color w:val="auto"/>
        </w:rPr>
        <w:t>compensation otherwise payable to such Non-Employee Director on the applicable Retainer Accrual Date divided by (b) the closing price of the Ordinary Shares on the Nasdaq Stock Market on the applicable Retainer Accrual Date (or, if such date is not a business day, on the first business day thereafter), rounded down to the nearest whole share. Each Retainer Grant will be fully vested on the applicable grant date.</w:t>
      </w:r>
    </w:p>
    <w:p>
      <w:pPr>
        <w:spacing w:after="0" w:line="176" w:lineRule="exact"/>
        <w:rPr>
          <w:sz w:val="20"/>
          <w:szCs w:val="20"/>
          <w:color w:val="auto"/>
        </w:rPr>
      </w:pPr>
    </w:p>
    <w:p>
      <w:pPr>
        <w:jc w:val="both"/>
        <w:ind w:left="1500" w:hanging="743"/>
        <w:spacing w:after="0" w:line="242" w:lineRule="auto"/>
        <w:tabs>
          <w:tab w:leader="none" w:pos="1500" w:val="left"/>
        </w:tabs>
        <w:numPr>
          <w:ilvl w:val="0"/>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Election Mechanics</w:t>
      </w:r>
      <w:r>
        <w:rPr>
          <w:rFonts w:ascii="Times New Roman" w:cs="Times New Roman" w:eastAsia="Times New Roman" w:hAnsi="Times New Roman"/>
          <w:sz w:val="20"/>
          <w:szCs w:val="20"/>
          <w:color w:val="auto"/>
        </w:rPr>
        <w:t>. A Retainer Grant Election must be submitted by a Non-Employee Director to the Company’s Chief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Officer (or such other individual as the Company designates) in writing prior to the end of each calendar year, indicating that the Director elects (in increments of 25%, 50%, 75% or 100% of the Director’s cash compensation) to receive the retainers in Ordinary Shares for the following calendar year. If no election has been made as of the first day of the year, the Non-Employee Director shall receive all retainers in cash. If a previous election has been made to receive Ordinary Shares in lieu of cash, such election shall remain in effect for subsequent calendar years until such election is changed by the completion, signature and delivery to the Company of a new election form for the following calendar year. Each newly elected or appointed Non-Employee Director shall make an election prior to, or within 30 days of, his or her initial appointment or election to the Board, for the remainder of the year of such appointment or election, whether to receive the retainers in cash or Ordinary Shares. A Non-Employee Director may only make or revoke a Retainer Grant Election during a period in which the Company is not in a quarterly or special blackout period and the Non-Employee Director is not aware of any material non-public information.</w:t>
      </w:r>
    </w:p>
    <w:p>
      <w:pPr>
        <w:spacing w:after="0" w:line="18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20"/>
          <w:szCs w:val="20"/>
          <w:b w:val="1"/>
          <w:bCs w:val="1"/>
          <w:color w:val="auto"/>
        </w:rPr>
        <w:t>Equity Compensation</w:t>
      </w:r>
    </w:p>
    <w:p>
      <w:pPr>
        <w:spacing w:after="0" w:line="229" w:lineRule="exact"/>
        <w:rPr>
          <w:sz w:val="20"/>
          <w:szCs w:val="20"/>
          <w:color w:val="auto"/>
        </w:rPr>
      </w:pPr>
    </w:p>
    <w:p>
      <w:pPr>
        <w:jc w:val="both"/>
        <w:ind w:left="1500" w:hanging="743"/>
        <w:spacing w:after="0" w:line="250" w:lineRule="auto"/>
        <w:tabs>
          <w:tab w:leader="none" w:pos="1500"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Initial Grant</w:t>
      </w:r>
      <w:r>
        <w:rPr>
          <w:rFonts w:ascii="Times New Roman" w:cs="Times New Roman" w:eastAsia="Times New Roman" w:hAnsi="Times New Roman"/>
          <w:sz w:val="20"/>
          <w:szCs w:val="20"/>
          <w:color w:val="auto"/>
        </w:rPr>
        <w:t>. Each Non-Employee Director who is first elected or appointed to the Board may be granted under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number of non-qualified stock options to purchase Ordinary Shares as determined by the Board (the “</w:t>
      </w:r>
      <w:r>
        <w:rPr>
          <w:rFonts w:ascii="Times New Roman" w:cs="Times New Roman" w:eastAsia="Times New Roman" w:hAnsi="Times New Roman"/>
          <w:sz w:val="20"/>
          <w:szCs w:val="20"/>
          <w:b w:val="1"/>
          <w:bCs w:val="1"/>
          <w:i w:val="1"/>
          <w:iCs w:val="1"/>
          <w:color w:val="auto"/>
        </w:rPr>
        <w:t>Initial Grant</w:t>
      </w:r>
      <w:r>
        <w:rPr>
          <w:rFonts w:ascii="Times New Roman" w:cs="Times New Roman" w:eastAsia="Times New Roman" w:hAnsi="Times New Roman"/>
          <w:sz w:val="20"/>
          <w:szCs w:val="20"/>
          <w:color w:val="auto"/>
        </w:rPr>
        <w:t>”). The options subject to the Initial Grant will vest in equal monthly installments over the 36 months following the date of grant, subject to the Non-Employee Director’s Continuous Service (as defined in the Plan) on each vesting date.</w:t>
      </w:r>
    </w:p>
    <w:p>
      <w:pPr>
        <w:spacing w:after="0" w:line="189" w:lineRule="exact"/>
        <w:rPr>
          <w:rFonts w:ascii="Times New Roman" w:cs="Times New Roman" w:eastAsia="Times New Roman" w:hAnsi="Times New Roman"/>
          <w:sz w:val="20"/>
          <w:szCs w:val="20"/>
          <w:b w:val="1"/>
          <w:bCs w:val="1"/>
          <w:color w:val="auto"/>
        </w:rPr>
      </w:pPr>
    </w:p>
    <w:p>
      <w:pPr>
        <w:jc w:val="both"/>
        <w:ind w:left="1500" w:hanging="743"/>
        <w:spacing w:after="0" w:line="243" w:lineRule="auto"/>
        <w:tabs>
          <w:tab w:leader="none" w:pos="1500"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Annual Grant</w:t>
      </w:r>
      <w:r>
        <w:rPr>
          <w:rFonts w:ascii="Times New Roman" w:cs="Times New Roman" w:eastAsia="Times New Roman" w:hAnsi="Times New Roman"/>
          <w:sz w:val="20"/>
          <w:szCs w:val="20"/>
          <w:color w:val="auto"/>
        </w:rPr>
        <w:t>. On the date of each annual stockholder meeting of the Company, each Non-Employee Director who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continues to serve as a non-employee member of the Board following such stockholder meeting will be granted, automatically and without any action on the part of the Board, under the Plan, a number of non-qualified stock options to purchase Ordinary Shares equal to 0.043% of the total aggregate Class A ordinary shares and Class B ordinary shares outstanding on the date of grant (rounded down to the nearest whole share) (the “</w:t>
      </w:r>
      <w:r>
        <w:rPr>
          <w:rFonts w:ascii="Times New Roman" w:cs="Times New Roman" w:eastAsia="Times New Roman" w:hAnsi="Times New Roman"/>
          <w:sz w:val="20"/>
          <w:szCs w:val="20"/>
          <w:b w:val="1"/>
          <w:bCs w:val="1"/>
          <w:i w:val="1"/>
          <w:iCs w:val="1"/>
          <w:color w:val="auto"/>
        </w:rPr>
        <w:t>Annual Grant</w:t>
      </w:r>
      <w:r>
        <w:rPr>
          <w:rFonts w:ascii="Times New Roman" w:cs="Times New Roman" w:eastAsia="Times New Roman" w:hAnsi="Times New Roman"/>
          <w:sz w:val="20"/>
          <w:szCs w:val="20"/>
          <w:color w:val="auto"/>
        </w:rPr>
        <w:t>”), with the value of such Annual Grant subject to reduction in order to comply with the Compensation Limits referred to in Section V. of the Policy and Section 5(e) of the Plan (after taking into account any Initial Grant and applicable retainer to be paid pursuant to Section II of the Policy). The options subject to the Annual Grant will vest in full on the sooner of the one-year anniversary of the date of grant or the date of Company’s next annual stockholder meeting, subject to the Non-Employee Director’s Continuous Service (as defined in the Plan) through such vesting date. For the avoidance of doubt, each newly appointed or elected Non-Employee Director shall first become eligible for an Annual Grant at the first annual stockholder meeting following the date on which such Non-Employee Director is appointed to the Board or the annual stockholder meeting at which the Non-Employee Director is first elected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7" w:name="page248"/>
    <w:bookmarkEnd w:id="247"/>
    <w:p>
      <w:pPr>
        <w:jc w:val="both"/>
        <w:ind w:left="1500" w:hanging="743"/>
        <w:spacing w:after="0" w:line="256" w:lineRule="auto"/>
        <w:tabs>
          <w:tab w:leader="none" w:pos="1500" w:val="left"/>
        </w:tabs>
        <w:numPr>
          <w:ilvl w:val="1"/>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Additional Provisions</w:t>
      </w:r>
      <w:r>
        <w:rPr>
          <w:rFonts w:ascii="Times New Roman" w:cs="Times New Roman" w:eastAsia="Times New Roman" w:hAnsi="Times New Roman"/>
          <w:sz w:val="20"/>
          <w:szCs w:val="20"/>
          <w:color w:val="auto"/>
        </w:rPr>
        <w:t>: All provisions of the Plan not inconsistent with this Policy will apply to awards granted to a Non-Employee Director. Non-Employee Directors will be required to execute an award agreement in a form satisfactory to the Company prior to receipt of an Initial Grant or Annual Grant.</w:t>
      </w:r>
    </w:p>
    <w:p>
      <w:pPr>
        <w:spacing w:after="0" w:line="182"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1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Non-Employee Director Compensation Limit</w:t>
      </w:r>
    </w:p>
    <w:p>
      <w:pPr>
        <w:spacing w:after="0" w:line="233"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20"/>
          <w:szCs w:val="20"/>
          <w:color w:val="auto"/>
        </w:rPr>
        <w:t>Notwithstanding anything herein to the contrary, the cash compensation and equity compensation that each Non-Employee Director is entitled to receive under this Policy shall be subject to the limits set forth in Section 5(e) of the Plan (the “</w:t>
      </w:r>
      <w:r>
        <w:rPr>
          <w:rFonts w:ascii="Times New Roman" w:cs="Times New Roman" w:eastAsia="Times New Roman" w:hAnsi="Times New Roman"/>
          <w:sz w:val="20"/>
          <w:szCs w:val="20"/>
          <w:b w:val="1"/>
          <w:bCs w:val="1"/>
          <w:i w:val="1"/>
          <w:iCs w:val="1"/>
          <w:color w:val="auto"/>
        </w:rPr>
        <w:t>Compensation Limits</w:t>
      </w:r>
      <w:r>
        <w:rPr>
          <w:rFonts w:ascii="Times New Roman" w:cs="Times New Roman" w:eastAsia="Times New Roman" w:hAnsi="Times New Roman"/>
          <w:sz w:val="20"/>
          <w:szCs w:val="20"/>
          <w:color w:val="auto"/>
        </w:rPr>
        <w:t>”) and any amounts set forth above (whether denominated in cash or equity) shall be subject to reduction in order to comply with the Compensation Limits.</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20"/>
          <w:szCs w:val="20"/>
          <w:b w:val="1"/>
          <w:bCs w:val="1"/>
          <w:color w:val="auto"/>
        </w:rPr>
        <w:t>Ability to Decline Compensation</w:t>
      </w:r>
    </w:p>
    <w:p>
      <w:pPr>
        <w:spacing w:after="0" w:line="233"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A Non-Employee Director may decline all or any portion of his or her compensation under this Policy by giving notice to the Company prior to the date such cash is earned or such equity awards are to be granted, as the case may be.</w:t>
      </w:r>
    </w:p>
    <w:p>
      <w:pPr>
        <w:spacing w:after="0" w:line="16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VII.</w:t>
      </w:r>
      <w:r>
        <w:rPr>
          <w:sz w:val="20"/>
          <w:szCs w:val="20"/>
          <w:color w:val="auto"/>
        </w:rPr>
        <w:tab/>
      </w:r>
      <w:r>
        <w:rPr>
          <w:rFonts w:ascii="Times New Roman" w:cs="Times New Roman" w:eastAsia="Times New Roman" w:hAnsi="Times New Roman"/>
          <w:sz w:val="20"/>
          <w:szCs w:val="20"/>
          <w:b w:val="1"/>
          <w:bCs w:val="1"/>
          <w:color w:val="auto"/>
        </w:rPr>
        <w:t>Expenses</w:t>
      </w:r>
    </w:p>
    <w:p>
      <w:pPr>
        <w:spacing w:after="0" w:line="23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Upon presentation of documentation of such expenses reasonably satisfactory to the Company, the Company will reimburse each Non-Employee Director for reasonable out-of-pocket business expenses incurred in connection with attending meetings of the Board and Committees thereof or in connection with other business related to the Board. Each Non-Employee Director shall abide by the Company’s travel and other expense policies applicable to Company personnel, as in effect from time to time.</w:t>
      </w:r>
    </w:p>
    <w:p>
      <w:pPr>
        <w:spacing w:after="0" w:line="18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VIII.</w:t>
        <w:tab/>
        <w:t>Amendments</w:t>
      </w:r>
    </w:p>
    <w:p>
      <w:pPr>
        <w:spacing w:after="0" w:line="23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This Policy may be amended at any time in the sole discretion of the Board. The Compensation Committee or the Board shall review this Policy from time to time to assess whether any amendments in the type and amount of compensation provided herein should be adjusted in order to fulfill the objectives of this Policy.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Amended: November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8" w:name="page249"/>
    <w:bookmarkEnd w:id="248"/>
    <w:p>
      <w:pPr>
        <w:ind w:left="10020"/>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ASSIGNMENT AND ASSUMPTION OF PURCHASE AND SALE AGREEMENT</w:t>
      </w:r>
    </w:p>
    <w:p>
      <w:pPr>
        <w:spacing w:after="0" w:line="200" w:lineRule="exact"/>
        <w:rPr>
          <w:sz w:val="20"/>
          <w:szCs w:val="20"/>
          <w:color w:val="auto"/>
        </w:rPr>
      </w:pPr>
    </w:p>
    <w:p>
      <w:pPr>
        <w:spacing w:after="0" w:line="25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ASSIGNMENT AND ASSUMPTION OF PURCHASE AND SALE AGREEMENT (this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is made and entered into as of the 25th day of November, 2024, by and between </w:t>
      </w:r>
      <w:r>
        <w:rPr>
          <w:rFonts w:ascii="Times New Roman" w:cs="Times New Roman" w:eastAsia="Times New Roman" w:hAnsi="Times New Roman"/>
          <w:sz w:val="22"/>
          <w:szCs w:val="22"/>
          <w:b w:val="1"/>
          <w:bCs w:val="1"/>
          <w:color w:val="auto"/>
        </w:rPr>
        <w:t>PROKIDNEY ACQUISITION COMPANY, 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u w:val="single" w:color="auto"/>
          <w:color w:val="auto"/>
        </w:rPr>
        <w:t>Assignor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PROKIDNEY ACQUISITION COMPANY II, 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 xml:space="preserve">WHEREAS, Assignor, as “Buyer”, and </w:t>
      </w:r>
      <w:r>
        <w:rPr>
          <w:rFonts w:ascii="Times New Roman" w:cs="Times New Roman" w:eastAsia="Times New Roman" w:hAnsi="Times New Roman"/>
          <w:sz w:val="19"/>
          <w:szCs w:val="19"/>
          <w:b w:val="1"/>
          <w:bCs w:val="1"/>
          <w:color w:val="auto"/>
        </w:rPr>
        <w:t>BREIT SE INDUSTRIAL PROPCO NC LP</w:t>
      </w:r>
      <w:r>
        <w:rPr>
          <w:rFonts w:ascii="Times New Roman" w:cs="Times New Roman" w:eastAsia="Times New Roman" w:hAnsi="Times New Roman"/>
          <w:sz w:val="19"/>
          <w:szCs w:val="19"/>
          <w:color w:val="auto"/>
        </w:rPr>
        <w:t>, a Delaware limited partnership,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“Seller”, </w:t>
      </w:r>
      <w:r>
        <w:rPr>
          <w:rFonts w:ascii="Times New Roman" w:cs="Times New Roman" w:eastAsia="Times New Roman" w:hAnsi="Times New Roman"/>
          <w:sz w:val="21"/>
          <w:szCs w:val="21"/>
          <w:color w:val="auto"/>
        </w:rPr>
        <w:t>entered into that certain Agreement for Purchase and Sale of Real Property effective as of November 20, 2024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Purchase Agreement</w:t>
      </w:r>
      <w:r>
        <w:rPr>
          <w:rFonts w:ascii="Times New Roman" w:cs="Times New Roman" w:eastAsia="Times New Roman" w:hAnsi="Times New Roman"/>
          <w:sz w:val="21"/>
          <w:szCs w:val="21"/>
          <w:color w:val="auto"/>
        </w:rPr>
        <w:t>”) with respect to certain real property commonly known as 3929 Westpoint Blvd., Winston Salem, North Carolina, and 2598 Empire Drive, Winston Salem, North Carolina, as more particularly described in the Purchase Agreement.</w:t>
      </w:r>
    </w:p>
    <w:p>
      <w:pPr>
        <w:spacing w:after="0" w:line="17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Assignor desires to assign to Assignee, and Assignee desires to assume from Assignor, all of Assignor’s rights, title and interest in the Purchase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NOW, THEREFORE, for good and valuable consideration, Assignor and Assignee do hereby agree as follows:</w:t>
      </w:r>
    </w:p>
    <w:p>
      <w:pPr>
        <w:spacing w:after="0" w:line="206" w:lineRule="exact"/>
        <w:rPr>
          <w:sz w:val="20"/>
          <w:szCs w:val="20"/>
          <w:color w:val="auto"/>
        </w:rPr>
      </w:pPr>
    </w:p>
    <w:p>
      <w:pPr>
        <w:jc w:val="both"/>
        <w:ind w:firstLine="757"/>
        <w:spacing w:after="0" w:line="244" w:lineRule="auto"/>
        <w:tabs>
          <w:tab w:leader="none" w:pos="1194"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Assignor does hereby assign, transfer, bargain, sell, grant, convey, deliver and set over absolutely unto Assignee, all of Assignor’s right, title, interest, powers, remedies, benefits, options and privileges in, to and under the Purchase Agreement.</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Assumption</w:t>
      </w:r>
      <w:r>
        <w:rPr>
          <w:rFonts w:ascii="Times New Roman" w:cs="Times New Roman" w:eastAsia="Times New Roman" w:hAnsi="Times New Roman"/>
          <w:sz w:val="22"/>
          <w:szCs w:val="22"/>
          <w:color w:val="auto"/>
        </w:rPr>
        <w:t>. Assignee hereby assumes (i) all of Assignor’s right, title, interest, powers, remedies, benefits, options and privileges in, to and under the Purchase Agreement, and (ii) all duties and obligations of Assignor arising out of or pertaining to the Purchase Agreement.</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Indemnity</w:t>
      </w:r>
      <w:r>
        <w:rPr>
          <w:rFonts w:ascii="Times New Roman" w:cs="Times New Roman" w:eastAsia="Times New Roman" w:hAnsi="Times New Roman"/>
          <w:sz w:val="22"/>
          <w:szCs w:val="22"/>
          <w:color w:val="auto"/>
        </w:rPr>
        <w:t>. Assignee hereby agrees to indemnify, defend and hold harmless Assignor and each of its affiliates, members, managers, officers, agents and employees from and against any and all losses, costs, expenses (including reasonable attorneys’ fees and costs) that Assignor or any of its affiliates, members, managers, officer, agents or employees may sustain as a result of a breach or default by “Purchaser” under the Purchase Agreement or any other liability thereunder.</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01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Each of Assignor and Assignee represents and warrants to the other that the individual executing this Assignment on behalf of such party is duly authorized to execute and deliver this Assignment on behalf of such party.</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Assignment shall inure to the benefit of and be binding upon Assignor and Assignee and their respective successors and assigns and legal representatives.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DOCPROPERTY DOCXDOCID DMS=IManage Format=&lt;&lt;NUM&gt;&gt;v.&lt;&lt;VER&gt;&gt;523651353v.1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49" w:name="page250"/>
    <w:bookmarkEnd w:id="249"/>
    <w:p>
      <w:pPr>
        <w:spacing w:after="0" w:line="185" w:lineRule="exact"/>
        <w:rPr>
          <w:sz w:val="20"/>
          <w:szCs w:val="20"/>
          <w:color w:val="auto"/>
        </w:rPr>
      </w:pPr>
    </w:p>
    <w:p>
      <w:pPr>
        <w:ind w:firstLine="757"/>
        <w:spacing w:after="0" w:line="258" w:lineRule="auto"/>
        <w:tabs>
          <w:tab w:leader="none" w:pos="101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section headings appearing in this Assignment are for convenience of reference only and are not intended, to any extent and for any purpose, to limit or define the text of any section hereof.</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Assignment shall be governed by and construed in accordance with the laws of the State of North Carolina without regard to any principle or rule of law that would require the application of the law of any other jurisdiction.</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Electronic Copies</w:t>
      </w:r>
      <w:r>
        <w:rPr>
          <w:rFonts w:ascii="Times New Roman" w:cs="Times New Roman" w:eastAsia="Times New Roman" w:hAnsi="Times New Roman"/>
          <w:sz w:val="22"/>
          <w:szCs w:val="22"/>
          <w:color w:val="auto"/>
        </w:rPr>
        <w:t>. This Assignment may be executed in any number of counterparts, each of which shall be deemed to be an original and all of which together shall comprise but a single instrument. Counterparts may be delivered via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Assignment and all matters related thereto, with such electronic signatures having the same legal effect as original signatures.</w:t>
      </w:r>
    </w:p>
    <w:p>
      <w:pPr>
        <w:spacing w:after="0" w:line="2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DOCPROPERTY DOCXDOCID DMS=IManage Format=&lt;&lt;NUM&gt;&gt;v.&lt;&lt;VER&gt;&gt;523651353v.1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0" w:name="page251"/>
    <w:bookmarkEnd w:id="250"/>
    <w:p>
      <w:pPr>
        <w:jc w:val="center"/>
        <w:ind w:left="400"/>
        <w:spacing w:after="0"/>
        <w:rPr>
          <w:sz w:val="20"/>
          <w:szCs w:val="20"/>
          <w:color w:val="auto"/>
        </w:rPr>
      </w:pPr>
      <w:r>
        <w:rPr>
          <w:rFonts w:ascii="Times New Roman" w:cs="Times New Roman" w:eastAsia="Times New Roman" w:hAnsi="Times New Roman"/>
          <w:sz w:val="21"/>
          <w:szCs w:val="21"/>
          <w:color w:val="auto"/>
        </w:rPr>
        <w:t>IN WITNESS WHEREOF, Assignor and Assignee have executed this Assignment as of the day and year first above written.</w:t>
      </w:r>
    </w:p>
    <w:p>
      <w:pPr>
        <w:spacing w:after="0" w:line="24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b w:val="1"/>
          <w:bCs w:val="1"/>
          <w:u w:val="single" w:color="auto"/>
          <w:color w:val="auto"/>
        </w:rPr>
        <w:t>ASSIGNOR</w:t>
      </w:r>
      <w:r>
        <w:rPr>
          <w:rFonts w:ascii="Times New Roman" w:cs="Times New Roman" w:eastAsia="Times New Roman" w:hAnsi="Times New Roman"/>
          <w:sz w:val="22"/>
          <w:szCs w:val="22"/>
          <w:b w:val="1"/>
          <w:bCs w:val="1"/>
          <w:color w:val="auto"/>
        </w:rPr>
        <w:t>:</w:t>
      </w:r>
    </w:p>
    <w:p>
      <w:pPr>
        <w:spacing w:after="0" w:line="23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b w:val="1"/>
          <w:bCs w:val="1"/>
          <w:color w:val="auto"/>
        </w:rPr>
        <w:t>PROKIDNEY ACQUISITION COMPANY, LLC</w:t>
      </w:r>
    </w:p>
    <w:p>
      <w:pPr>
        <w:spacing w:after="0" w:line="2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00" w:lineRule="exact"/>
        <w:rPr>
          <w:sz w:val="20"/>
          <w:szCs w:val="20"/>
          <w:color w:val="auto"/>
        </w:rPr>
      </w:pPr>
    </w:p>
    <w:p>
      <w:pPr>
        <w:spacing w:after="0" w:line="21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By:__</w:t>
      </w:r>
      <w:r>
        <w:rPr>
          <w:rFonts w:ascii="Times New Roman" w:cs="Times New Roman" w:eastAsia="Times New Roman" w:hAnsi="Times New Roman"/>
          <w:sz w:val="20"/>
          <w:szCs w:val="20"/>
          <w:u w:val="single" w:color="auto"/>
          <w:color w:val="auto"/>
        </w:rPr>
        <w:t>/s/ Bruce Culleton</w:t>
      </w:r>
      <w:r>
        <w:rPr>
          <w:rFonts w:ascii="Times New Roman" w:cs="Times New Roman" w:eastAsia="Times New Roman" w:hAnsi="Times New Roman"/>
          <w:sz w:val="20"/>
          <w:szCs w:val="20"/>
          <w:color w:val="auto"/>
        </w:rPr>
        <w:t>_____________________</w:t>
      </w:r>
    </w:p>
    <w:p>
      <w:pPr>
        <w:spacing w:after="0" w:line="2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Name: Bruce Culleton, M.D.</w:t>
      </w:r>
    </w:p>
    <w:p>
      <w:pPr>
        <w:ind w:left="534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b w:val="1"/>
          <w:bCs w:val="1"/>
          <w:u w:val="single" w:color="auto"/>
          <w:color w:val="auto"/>
        </w:rPr>
        <w:t>ASSIGNEE</w:t>
      </w:r>
      <w:r>
        <w:rPr>
          <w:rFonts w:ascii="Times New Roman" w:cs="Times New Roman" w:eastAsia="Times New Roman" w:hAnsi="Times New Roman"/>
          <w:sz w:val="22"/>
          <w:szCs w:val="22"/>
          <w:b w:val="1"/>
          <w:bCs w:val="1"/>
          <w:color w:val="auto"/>
        </w:rPr>
        <w:t>:</w:t>
      </w:r>
    </w:p>
    <w:p>
      <w:pPr>
        <w:spacing w:after="0" w:line="34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b w:val="1"/>
          <w:bCs w:val="1"/>
          <w:color w:val="auto"/>
        </w:rPr>
        <w:t>PROKIDNEY ACQUISITION COMPANY II, LLC</w:t>
      </w:r>
    </w:p>
    <w:p>
      <w:pPr>
        <w:spacing w:after="0" w:line="2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00" w:lineRule="exact"/>
        <w:rPr>
          <w:sz w:val="20"/>
          <w:szCs w:val="20"/>
          <w:color w:val="auto"/>
        </w:rPr>
      </w:pPr>
    </w:p>
    <w:p>
      <w:pPr>
        <w:spacing w:after="0" w:line="21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By: _</w:t>
      </w:r>
      <w:r>
        <w:rPr>
          <w:rFonts w:ascii="Times New Roman" w:cs="Times New Roman" w:eastAsia="Times New Roman" w:hAnsi="Times New Roman"/>
          <w:sz w:val="20"/>
          <w:szCs w:val="20"/>
          <w:u w:val="single" w:color="auto"/>
          <w:color w:val="auto"/>
        </w:rPr>
        <w:t>/s/ Bruce Culleton</w:t>
      </w:r>
      <w:r>
        <w:rPr>
          <w:rFonts w:ascii="Times New Roman" w:cs="Times New Roman" w:eastAsia="Times New Roman" w:hAnsi="Times New Roman"/>
          <w:sz w:val="20"/>
          <w:szCs w:val="20"/>
          <w:color w:val="auto"/>
        </w:rPr>
        <w:t>_______________________</w:t>
      </w:r>
    </w:p>
    <w:p>
      <w:pPr>
        <w:spacing w:after="0" w:line="2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Name: Bruce Culleton, M.D.</w:t>
      </w:r>
    </w:p>
    <w:p>
      <w:pPr>
        <w:ind w:left="534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0"/>
          <w:szCs w:val="20"/>
          <w:color w:val="auto"/>
        </w:rPr>
        <w:t>[Signature Page – Assignment and Assumption of Purchase and Sale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DOCPROPERTY DOCXDOCID DMS=IManage Format=&lt;&lt;NUM&gt;&gt;v.&lt;&lt;VER&gt;&gt;523651353v.1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20"/>
          <w:szCs w:val="20"/>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April 11, 2023</w:t>
      </w: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Georgia" w:cs="Georgia" w:eastAsia="Georgia" w:hAnsi="Georgia"/>
          <w:sz w:val="20"/>
          <w:szCs w:val="20"/>
          <w:color w:val="auto"/>
        </w:rPr>
        <w:t>Todd Girolamo 33 Young Avenue</w:t>
      </w:r>
    </w:p>
    <w:p>
      <w:pPr>
        <w:ind w:left="120"/>
        <w:spacing w:after="0" w:line="236" w:lineRule="auto"/>
        <w:rPr>
          <w:sz w:val="20"/>
          <w:szCs w:val="20"/>
          <w:color w:val="auto"/>
        </w:rPr>
      </w:pPr>
      <w:r>
        <w:rPr>
          <w:rFonts w:ascii="Georgia" w:cs="Georgia" w:eastAsia="Georgia" w:hAnsi="Georgia"/>
          <w:sz w:val="20"/>
          <w:szCs w:val="20"/>
          <w:color w:val="auto"/>
        </w:rPr>
        <w:t>Pelham, New York 10803-1723</w:t>
      </w: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Dear Todd:</w:t>
      </w:r>
    </w:p>
    <w:p>
      <w:pPr>
        <w:spacing w:after="0" w:line="206" w:lineRule="exact"/>
        <w:rPr>
          <w:sz w:val="20"/>
          <w:szCs w:val="20"/>
          <w:color w:val="auto"/>
        </w:rPr>
      </w:pPr>
    </w:p>
    <w:p>
      <w:pPr>
        <w:jc w:val="both"/>
        <w:ind w:left="120" w:right="120" w:firstLine="749"/>
        <w:spacing w:after="0" w:line="239" w:lineRule="auto"/>
        <w:rPr>
          <w:sz w:val="20"/>
          <w:szCs w:val="20"/>
          <w:color w:val="auto"/>
        </w:rPr>
      </w:pPr>
      <w:r>
        <w:rPr>
          <w:rFonts w:ascii="Times New Roman" w:cs="Times New Roman" w:eastAsia="Times New Roman" w:hAnsi="Times New Roman"/>
          <w:sz w:val="22"/>
          <w:szCs w:val="22"/>
          <w:color w:val="auto"/>
        </w:rPr>
        <w:t>1.This letter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sets forth the terms and conditions of your continued employment with ProKidney,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as of December 1, 2022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Agreement will govern your employment with the Company following the Effective Date on the following terms and conditions:</w:t>
      </w:r>
    </w:p>
    <w:p>
      <w:pPr>
        <w:spacing w:after="0" w:line="190" w:lineRule="exact"/>
        <w:rPr>
          <w:sz w:val="20"/>
          <w:szCs w:val="20"/>
          <w:color w:val="auto"/>
        </w:rPr>
      </w:pPr>
    </w:p>
    <w:p>
      <w:pPr>
        <w:jc w:val="both"/>
        <w:ind w:left="880" w:right="300" w:hanging="2994"/>
        <w:spacing w:after="0"/>
        <w:tabs>
          <w:tab w:leader="none" w:pos="860" w:val="left"/>
        </w:tabs>
        <w:rPr>
          <w:sz w:val="20"/>
          <w:szCs w:val="20"/>
          <w:color w:val="auto"/>
        </w:rPr>
      </w:pPr>
      <w:r>
        <w:rPr>
          <w:rFonts w:ascii="Times New Roman" w:cs="Times New Roman" w:eastAsia="Times New Roman" w:hAnsi="Times New Roman"/>
          <w:sz w:val="22"/>
          <w:szCs w:val="22"/>
          <w:b w:val="1"/>
          <w:bCs w:val="1"/>
          <w:color w:val="auto"/>
        </w:rPr>
        <w:t>Term:</w:t>
      </w:r>
      <w:r>
        <w:rPr>
          <w:sz w:val="20"/>
          <w:szCs w:val="20"/>
          <w:color w:val="auto"/>
        </w:rPr>
        <w:tab/>
      </w:r>
      <w:r>
        <w:rPr>
          <w:rFonts w:ascii="Times New Roman" w:cs="Times New Roman" w:eastAsia="Times New Roman" w:hAnsi="Times New Roman"/>
          <w:sz w:val="22"/>
          <w:szCs w:val="22"/>
          <w:color w:val="auto"/>
        </w:rPr>
        <w:t>The term of your employment with the Company will terminate upon delivery to you of notice to such effect, which notice may be given for any or no reason, or upon your earlier resignation, death or disability (as customarily defined by the Company). You acknowledge that no provision contained in this Agreement will entitle you to remain in the employment of the Company or any of its subsidiaries or affiliates or affect the right of the Company to terminate your employment hereunder at any time for any reason, subject to compliance with the termination provisions set forth herein. The period during which you are employed by the Company pursuant to this Agreement shall be referred to as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Position: </w:t>
      </w:r>
      <w:r>
        <w:rPr>
          <w:rFonts w:ascii="Times New Roman" w:cs="Times New Roman" w:eastAsia="Times New Roman" w:hAnsi="Times New Roman"/>
          <w:sz w:val="22"/>
          <w:szCs w:val="22"/>
          <w:color w:val="auto"/>
        </w:rPr>
        <w:t>Chief Legal Officer and Corporate Secretary of the Company.</w:t>
      </w:r>
    </w:p>
    <w:p>
      <w:pPr>
        <w:spacing w:after="0" w:line="1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Reporting:</w:t>
      </w:r>
      <w:r>
        <w:rPr>
          <w:sz w:val="20"/>
          <w:szCs w:val="20"/>
          <w:color w:val="auto"/>
        </w:rPr>
        <w:tab/>
      </w:r>
      <w:r>
        <w:rPr>
          <w:rFonts w:ascii="Times New Roman" w:cs="Times New Roman" w:eastAsia="Times New Roman" w:hAnsi="Times New Roman"/>
          <w:sz w:val="22"/>
          <w:szCs w:val="22"/>
          <w:color w:val="auto"/>
        </w:rPr>
        <w:t>You will report directly to the Chief Executive Officer (“</w:t>
      </w:r>
      <w:r>
        <w:rPr>
          <w:rFonts w:ascii="Times New Roman" w:cs="Times New Roman" w:eastAsia="Times New Roman" w:hAnsi="Times New Roman"/>
          <w:sz w:val="22"/>
          <w:szCs w:val="22"/>
          <w:b w:val="1"/>
          <w:bCs w:val="1"/>
          <w:color w:val="auto"/>
        </w:rPr>
        <w:t>Supervisor</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252" w:name="page253"/>
    <w:bookmarkEnd w:id="252"/>
    <w:p>
      <w:pPr>
        <w:spacing w:after="0" w:line="5" w:lineRule="exact"/>
        <w:rPr>
          <w:sz w:val="20"/>
          <w:szCs w:val="20"/>
          <w:color w:val="auto"/>
        </w:rPr>
      </w:pPr>
    </w:p>
    <w:p>
      <w:pPr>
        <w:ind w:left="1480" w:hanging="2994"/>
        <w:spacing w:after="0" w:line="238" w:lineRule="auto"/>
        <w:tabs>
          <w:tab w:leader="none" w:pos="1460" w:val="left"/>
        </w:tabs>
        <w:rPr>
          <w:sz w:val="20"/>
          <w:szCs w:val="20"/>
          <w:color w:val="auto"/>
        </w:rPr>
      </w:pPr>
      <w:r>
        <w:rPr>
          <w:rFonts w:ascii="Times New Roman" w:cs="Times New Roman" w:eastAsia="Times New Roman" w:hAnsi="Times New Roman"/>
          <w:sz w:val="22"/>
          <w:szCs w:val="22"/>
          <w:b w:val="1"/>
          <w:bCs w:val="1"/>
          <w:color w:val="auto"/>
        </w:rPr>
        <w:t>Duties and Commitment:</w:t>
      </w:r>
      <w:r>
        <w:rPr>
          <w:sz w:val="20"/>
          <w:szCs w:val="20"/>
          <w:color w:val="auto"/>
        </w:rPr>
        <w:tab/>
      </w:r>
      <w:r>
        <w:rPr>
          <w:rFonts w:ascii="Times New Roman" w:cs="Times New Roman" w:eastAsia="Times New Roman" w:hAnsi="Times New Roman"/>
          <w:sz w:val="22"/>
          <w:szCs w:val="22"/>
          <w:color w:val="auto"/>
        </w:rPr>
        <w:t>You shall be employed by the Company on a full-time basis and shall perform such duties and responsibilities on behalf of the Company and its subsidiaries and affiliates (collectively, the “</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as are consistent with your position, and such additional duties and responsibilities on behalf of the Company Group, as may be designated from time to time by the Supervisor.</w:t>
      </w:r>
    </w:p>
    <w:p>
      <w:pPr>
        <w:spacing w:after="0" w:line="181" w:lineRule="exact"/>
        <w:rPr>
          <w:sz w:val="20"/>
          <w:szCs w:val="20"/>
          <w:color w:val="auto"/>
        </w:rPr>
      </w:pPr>
    </w:p>
    <w:p>
      <w:pPr>
        <w:jc w:val="both"/>
        <w:ind w:left="1880" w:right="80"/>
        <w:spacing w:after="0" w:line="235" w:lineRule="auto"/>
        <w:rPr>
          <w:sz w:val="20"/>
          <w:szCs w:val="20"/>
          <w:color w:val="auto"/>
        </w:rPr>
      </w:pPr>
      <w:r>
        <w:rPr>
          <w:rFonts w:ascii="Times New Roman" w:cs="Times New Roman" w:eastAsia="Times New Roman" w:hAnsi="Times New Roman"/>
          <w:sz w:val="22"/>
          <w:szCs w:val="22"/>
          <w:color w:val="auto"/>
        </w:rPr>
        <w:t>You will be required to devote all of your business time to the business and affairs of the Company Group and to the promotion of its interests. Notwithstanding the foregoing, you may engage in other activities, such as personal investments and civic and charitable activities, so long as: (i) such activities do not interfere with your duties and obligations hereunder and (ii) such activities are disclosed in advance to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ProKidney Corp.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In addition, you shall be permitted to serve as a director on any other company’s board of directors subject to the prior consent of the Board (which will not be unreasonably withheld).</w:t>
      </w:r>
    </w:p>
    <w:p>
      <w:pPr>
        <w:spacing w:after="0" w:line="39" w:lineRule="exact"/>
        <w:rPr>
          <w:sz w:val="20"/>
          <w:szCs w:val="20"/>
          <w:color w:val="auto"/>
        </w:rPr>
      </w:pPr>
    </w:p>
    <w:p>
      <w:pPr>
        <w:jc w:val="both"/>
        <w:ind w:left="1880" w:right="80" w:hanging="266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Base Salary: </w:t>
      </w:r>
      <w:r>
        <w:rPr>
          <w:rFonts w:ascii="Times New Roman" w:cs="Times New Roman" w:eastAsia="Times New Roman" w:hAnsi="Times New Roman"/>
          <w:sz w:val="22"/>
          <w:szCs w:val="22"/>
          <w:color w:val="auto"/>
        </w:rPr>
        <w:t>During the Term, your annual base salary will be $425,000.00 per year and will be payable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Company’s normal payroll practices, less the applicable taxes and elective withholdings. Your base salary may be increased, but not decreased, as determined by the Board or the Compensation Committee of the Board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339090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440" w:top="1440" w:right="559" w:bottom="1440" w:gutter="0" w:footer="0" w:header="0"/>
        </w:sectPr>
      </w:pPr>
    </w:p>
    <w:bookmarkStart w:id="253" w:name="page254"/>
    <w:bookmarkEnd w:id="253"/>
    <w:p>
      <w:pPr>
        <w:spacing w:after="0" w:line="5" w:lineRule="exact"/>
        <w:rPr>
          <w:sz w:val="20"/>
          <w:szCs w:val="20"/>
          <w:color w:val="auto"/>
        </w:rPr>
      </w:pPr>
    </w:p>
    <w:p>
      <w:pPr>
        <w:ind w:left="2660" w:right="80" w:hanging="2994"/>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Incentive Bonus Eligibility: </w:t>
      </w:r>
      <w:r>
        <w:rPr>
          <w:rFonts w:ascii="Times New Roman" w:cs="Times New Roman" w:eastAsia="Times New Roman" w:hAnsi="Times New Roman"/>
          <w:sz w:val="22"/>
          <w:szCs w:val="22"/>
          <w:color w:val="auto"/>
        </w:rPr>
        <w:t>During the Term, you will be eligible for an annual cash bonus pursuant to the Company’s annual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bonus program based on the achievement of performance criteria established by the Compensation Committee for the applicable fiscal year, which may be corporate goals and/or individual criteria. Your initial target bonus will be in an amount equal to 40% of your base salary (“Target Bonus”). The actual amount of any bonus earned shall be determined by the Compensation Committee based on achievement of the applicable performance criteria after the end of the applicable fiscal year.</w:t>
      </w:r>
    </w:p>
    <w:p>
      <w:pPr>
        <w:spacing w:after="0" w:line="85" w:lineRule="exact"/>
        <w:rPr>
          <w:sz w:val="20"/>
          <w:szCs w:val="20"/>
          <w:color w:val="auto"/>
        </w:rPr>
      </w:pPr>
    </w:p>
    <w:p>
      <w:pPr>
        <w:ind w:left="2660" w:right="320"/>
        <w:spacing w:after="0" w:line="258" w:lineRule="auto"/>
        <w:rPr>
          <w:sz w:val="20"/>
          <w:szCs w:val="20"/>
          <w:color w:val="auto"/>
        </w:rPr>
      </w:pPr>
      <w:r>
        <w:rPr>
          <w:rFonts w:ascii="Times New Roman" w:cs="Times New Roman" w:eastAsia="Times New Roman" w:hAnsi="Times New Roman"/>
          <w:sz w:val="22"/>
          <w:szCs w:val="22"/>
          <w:color w:val="auto"/>
        </w:rPr>
        <w:t>Except as otherwise provided herein, you will be entitled to receive any earned bonus for a fiscal year of the Company if you are employed on the payment date for such bonus.</w:t>
      </w:r>
    </w:p>
    <w:p>
      <w:pPr>
        <w:spacing w:after="0" w:line="60" w:lineRule="exact"/>
        <w:rPr>
          <w:sz w:val="20"/>
          <w:szCs w:val="20"/>
          <w:color w:val="auto"/>
        </w:rPr>
      </w:pPr>
    </w:p>
    <w:p>
      <w:pPr>
        <w:ind w:left="2660" w:hanging="299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Long-Term Incentive: </w:t>
      </w:r>
      <w:r>
        <w:rPr>
          <w:rFonts w:ascii="Times New Roman" w:cs="Times New Roman" w:eastAsia="Times New Roman" w:hAnsi="Times New Roman"/>
          <w:sz w:val="22"/>
          <w:szCs w:val="22"/>
          <w:color w:val="auto"/>
        </w:rPr>
        <w:t>You will be eligible to receive long-term incentive awards pursuant to the terms of the ProKidney Corp.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2022 Incentive Equity Plan (the “Incentive Equity Plan”) (or any successor plan thereto). Long-term incentive awards will be granted at the discretion of the Compensation Committee and in accordance with market guidelines for your role as approved by the Compensation Committee.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409575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660" w:top="1440" w:right="41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358140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99"/>
          </w:cols>
          <w:pgMar w:left="660" w:top="1408" w:right="1440" w:bottom="1440" w:gutter="0" w:footer="0" w:header="0"/>
        </w:sectPr>
      </w:pPr>
    </w:p>
    <w:bookmarkStart w:id="255" w:name="page256"/>
    <w:bookmarkEnd w:id="255"/>
    <w:p>
      <w:pPr>
        <w:spacing w:after="0" w:line="100" w:lineRule="exact"/>
        <w:rPr>
          <w:sz w:val="20"/>
          <w:szCs w:val="20"/>
          <w:color w:val="auto"/>
        </w:rPr>
      </w:pPr>
    </w:p>
    <w:p>
      <w:pPr>
        <w:jc w:val="both"/>
        <w:ind w:left="1100" w:right="20" w:hanging="1883"/>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Benefits: </w:t>
      </w:r>
      <w:r>
        <w:rPr>
          <w:rFonts w:ascii="Times New Roman" w:cs="Times New Roman" w:eastAsia="Times New Roman" w:hAnsi="Times New Roman"/>
          <w:sz w:val="22"/>
          <w:szCs w:val="22"/>
          <w:color w:val="auto"/>
        </w:rPr>
        <w:t>During your employment with the Company, you will be eligible for participation in employee health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welfare benefits programs, retirement programs, and other fringe benefits maintained by the Company, to the</w:t>
      </w:r>
    </w:p>
    <w:p>
      <w:pPr>
        <w:spacing w:after="0" w:line="2" w:lineRule="exact"/>
        <w:rPr>
          <w:sz w:val="20"/>
          <w:szCs w:val="20"/>
          <w:color w:val="auto"/>
        </w:rPr>
      </w:pPr>
    </w:p>
    <w:p>
      <w:pPr>
        <w:jc w:val="both"/>
        <w:ind w:left="1100"/>
        <w:spacing w:after="0" w:line="232" w:lineRule="auto"/>
        <w:rPr>
          <w:sz w:val="20"/>
          <w:szCs w:val="20"/>
          <w:color w:val="auto"/>
        </w:rPr>
      </w:pPr>
      <w:r>
        <w:rPr>
          <w:rFonts w:ascii="Times New Roman" w:cs="Times New Roman" w:eastAsia="Times New Roman" w:hAnsi="Times New Roman"/>
          <w:sz w:val="22"/>
          <w:szCs w:val="22"/>
          <w:color w:val="auto"/>
        </w:rPr>
        <w:t>extent consistent with applicable law and the terms of the applicable plans and programs, which may include certain plans and programs available to similarly situated executives of the Company or otherwise applicable to your position from time to time, subject to all plan terms and eligibility requirements. The benefit plans and programs for which you may be eligible are more fully described in the applicable plan summaries and related documents. The Company retains all rights to amend or terminate any such benefit plans and programs, subject to the terms of such employee benefit plans and programs and applicable law, and nothing contained herein shall obligate the Company to continue any benefit plans or programs in the future.</w:t>
      </w:r>
    </w:p>
    <w:p>
      <w:pPr>
        <w:spacing w:after="0" w:line="180" w:lineRule="exact"/>
        <w:rPr>
          <w:sz w:val="20"/>
          <w:szCs w:val="20"/>
          <w:color w:val="auto"/>
        </w:rPr>
      </w:pPr>
    </w:p>
    <w:p>
      <w:pPr>
        <w:jc w:val="both"/>
        <w:ind w:left="1100" w:right="20"/>
        <w:spacing w:after="0" w:line="258" w:lineRule="auto"/>
        <w:rPr>
          <w:sz w:val="20"/>
          <w:szCs w:val="20"/>
          <w:color w:val="auto"/>
        </w:rPr>
      </w:pPr>
      <w:r>
        <w:rPr>
          <w:rFonts w:ascii="Times New Roman" w:cs="Times New Roman" w:eastAsia="Times New Roman" w:hAnsi="Times New Roman"/>
          <w:sz w:val="22"/>
          <w:szCs w:val="22"/>
          <w:color w:val="auto"/>
        </w:rPr>
        <w:t>You will be eligible to receive vacation in accordance with the terms of the Company’s vacation/Paid Time Off “PTO”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191135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440" w:top="1440" w:right="619" w:bottom="1440" w:gutter="0" w:footer="0" w:header="0"/>
        </w:sectPr>
      </w:pPr>
    </w:p>
    <w:bookmarkStart w:id="256" w:name="page257"/>
    <w:bookmarkEnd w:id="256"/>
    <w:p>
      <w:pPr>
        <w:ind w:left="1100" w:hanging="1886"/>
        <w:spacing w:after="0" w:line="239" w:lineRule="auto"/>
        <w:tabs>
          <w:tab w:leader="none" w:pos="1080" w:val="left"/>
        </w:tabs>
        <w:rPr>
          <w:sz w:val="20"/>
          <w:szCs w:val="20"/>
          <w:color w:val="auto"/>
        </w:rPr>
      </w:pPr>
      <w:r>
        <w:rPr>
          <w:rFonts w:ascii="Times New Roman" w:cs="Times New Roman" w:eastAsia="Times New Roman" w:hAnsi="Times New Roman"/>
          <w:sz w:val="22"/>
          <w:szCs w:val="22"/>
          <w:b w:val="1"/>
          <w:bCs w:val="1"/>
          <w:color w:val="auto"/>
        </w:rPr>
        <w:t>Business Expenses:</w:t>
      </w:r>
      <w:r>
        <w:rPr>
          <w:sz w:val="20"/>
          <w:szCs w:val="20"/>
          <w:color w:val="auto"/>
        </w:rPr>
        <w:tab/>
      </w:r>
      <w:r>
        <w:rPr>
          <w:rFonts w:ascii="Times New Roman" w:cs="Times New Roman" w:eastAsia="Times New Roman" w:hAnsi="Times New Roman"/>
          <w:sz w:val="22"/>
          <w:szCs w:val="22"/>
          <w:color w:val="auto"/>
        </w:rPr>
        <w:t>During the Term, the Company will reimburse you for reasonable business expenses, including travel, entertainment, and other expenses (including a mobile phone and data service) incurred by you in the furtherance of the performance of your duties hereunder, in accordance with the Company’s Travel and Entertainment policy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344805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1440" w:top="1431" w:right="539" w:bottom="1440" w:gutter="0" w:footer="0" w:header="0"/>
        </w:sectPr>
      </w:pPr>
    </w:p>
    <w:bookmarkStart w:id="257" w:name="page258"/>
    <w:bookmarkEnd w:id="257"/>
    <w:p>
      <w:pPr>
        <w:spacing w:after="0" w:line="100" w:lineRule="exact"/>
        <w:rPr>
          <w:sz w:val="20"/>
          <w:szCs w:val="20"/>
          <w:color w:val="auto"/>
        </w:rPr>
      </w:pPr>
    </w:p>
    <w:p>
      <w:pPr>
        <w:jc w:val="both"/>
        <w:ind w:left="1100" w:hanging="1883"/>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Termination: </w:t>
      </w:r>
      <w:r>
        <w:rPr>
          <w:rFonts w:ascii="Times New Roman" w:cs="Times New Roman" w:eastAsia="Times New Roman" w:hAnsi="Times New Roman"/>
          <w:sz w:val="22"/>
          <w:szCs w:val="22"/>
          <w:color w:val="auto"/>
        </w:rPr>
        <w:t>(a) Upon your termination of employment for any reason, the Company shall pay to you (i) your base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salary earned through the date of such termination, (ii) amounts for accrued but unused vacation days in the year of termination and (iii) any unreimbursed business expenses in accordance</w:t>
      </w:r>
    </w:p>
    <w:p>
      <w:pPr>
        <w:spacing w:after="0" w:line="1" w:lineRule="exact"/>
        <w:rPr>
          <w:sz w:val="20"/>
          <w:szCs w:val="20"/>
          <w:color w:val="auto"/>
        </w:rPr>
      </w:pPr>
    </w:p>
    <w:p>
      <w:pPr>
        <w:jc w:val="both"/>
        <w:ind w:left="1100"/>
        <w:spacing w:after="0" w:line="249" w:lineRule="auto"/>
        <w:rPr>
          <w:sz w:val="20"/>
          <w:szCs w:val="20"/>
          <w:color w:val="auto"/>
        </w:rPr>
      </w:pPr>
      <w:r>
        <w:rPr>
          <w:rFonts w:ascii="Times New Roman" w:cs="Times New Roman" w:eastAsia="Times New Roman" w:hAnsi="Times New Roman"/>
          <w:sz w:val="21"/>
          <w:szCs w:val="21"/>
          <w:color w:val="auto"/>
        </w:rPr>
        <w:t>with the Company’s reimbursement policy, not later than thirty (30) business days after the customary documentation regarding such expenses has been received and only to the extent that such expenses are submitted within one year of your termination (collectively, “</w:t>
      </w:r>
      <w:r>
        <w:rPr>
          <w:rFonts w:ascii="Times New Roman" w:cs="Times New Roman" w:eastAsia="Times New Roman" w:hAnsi="Times New Roman"/>
          <w:sz w:val="21"/>
          <w:szCs w:val="21"/>
          <w:u w:val="single" w:color="auto"/>
          <w:color w:val="auto"/>
        </w:rPr>
        <w:t>Accrued Amounts</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jc w:val="both"/>
        <w:ind w:left="1100" w:firstLine="4"/>
        <w:spacing w:after="0" w:line="233" w:lineRule="auto"/>
        <w:tabs>
          <w:tab w:leader="none" w:pos="1418"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your employment is terminated during the Term by the Company without Cause (as defined below) or by you for Good Reason (as defined below), in addition to the Accrued Amounts, you will be entitled to receive, subject to your timely execution and non-revocation of a Release (as defined below) (i) any earned but unpaid bonus for any prior completed fiscal year, payable when such payments would otherwise be paid, (ii) salary continuation for a period of nine (9) months following your termination date, payable in accordance with the Company’s normal payroll cycle and</w:t>
      </w:r>
    </w:p>
    <w:p>
      <w:pPr>
        <w:spacing w:after="0" w:line="5" w:lineRule="exact"/>
        <w:rPr>
          <w:rFonts w:ascii="Times New Roman" w:cs="Times New Roman" w:eastAsia="Times New Roman" w:hAnsi="Times New Roman"/>
          <w:sz w:val="22"/>
          <w:szCs w:val="22"/>
          <w:color w:val="auto"/>
        </w:rPr>
      </w:pPr>
    </w:p>
    <w:p>
      <w:pPr>
        <w:ind w:left="1100" w:firstLine="1"/>
        <w:spacing w:after="0" w:line="237" w:lineRule="auto"/>
        <w:tabs>
          <w:tab w:leader="none" w:pos="152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participation in the Company’s group health plan at active employee rates for a period of nine (9) months following your termination date.</w:t>
      </w:r>
    </w:p>
    <w:p>
      <w:pPr>
        <w:spacing w:after="0" w:line="178" w:lineRule="exact"/>
        <w:rPr>
          <w:sz w:val="20"/>
          <w:szCs w:val="20"/>
          <w:color w:val="auto"/>
        </w:rPr>
      </w:pPr>
    </w:p>
    <w:p>
      <w:pPr>
        <w:ind w:left="1100"/>
        <w:spacing w:after="0" w:line="241" w:lineRule="auto"/>
        <w:rPr>
          <w:sz w:val="20"/>
          <w:szCs w:val="20"/>
          <w:color w:val="auto"/>
        </w:rPr>
      </w:pPr>
      <w:r>
        <w:rPr>
          <w:rFonts w:ascii="Times New Roman" w:cs="Times New Roman" w:eastAsia="Times New Roman" w:hAnsi="Times New Roman"/>
          <w:sz w:val="22"/>
          <w:szCs w:val="22"/>
          <w:color w:val="auto"/>
        </w:rPr>
        <w:t>Notwithstanding the foregoing, upon a termination of your employment by the Company without Cause or by you for Good Reason within eighteen</w:t>
      </w:r>
    </w:p>
    <w:p>
      <w:pPr>
        <w:spacing w:after="0" w:line="2" w:lineRule="exact"/>
        <w:rPr>
          <w:sz w:val="20"/>
          <w:szCs w:val="20"/>
          <w:color w:val="auto"/>
        </w:rPr>
      </w:pPr>
    </w:p>
    <w:p>
      <w:pPr>
        <w:jc w:val="both"/>
        <w:ind w:left="1100" w:firstLine="1"/>
        <w:spacing w:after="0" w:line="230" w:lineRule="auto"/>
        <w:tabs>
          <w:tab w:leader="none" w:pos="1524"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following a Change in Control (as defined in the Incentive Equity Plan), in addition to the Accrued Amounts, you will be entitled to receive, subject to your timely execution and non-revocation of a Release</w:t>
      </w:r>
    </w:p>
    <w:p>
      <w:pPr>
        <w:spacing w:after="0" w:line="1" w:lineRule="exact"/>
        <w:rPr>
          <w:rFonts w:ascii="Times New Roman" w:cs="Times New Roman" w:eastAsia="Times New Roman" w:hAnsi="Times New Roman"/>
          <w:sz w:val="22"/>
          <w:szCs w:val="22"/>
          <w:color w:val="auto"/>
        </w:rPr>
      </w:pPr>
    </w:p>
    <w:p>
      <w:pPr>
        <w:jc w:val="both"/>
        <w:ind w:left="1100"/>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 lump sum payment equal to the sum of twelve (12) months of your base salary as of immediately prior to the Change in Control and one hundred percent (100%) of your then-current Target Bonus, (ii) continued participation in the Company’s group health plan at active employee rates for a period of twelve (12) months following your termination date and (iii) full vesting of any equity awards then outstanding held by you (with any performance-based equity awards vesting at “target” levels). Notwithstanding anything to the contrary set forth herein, to the extent there is a conflict between any of the terms set forth in this Agreement and any terms set forth in an award agreement relating to the grant of equity awards to you, the terms of the applicable award agreement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203835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1440" w:top="1440" w:right="639" w:bottom="1440" w:gutter="0" w:footer="0" w:header="0"/>
        </w:sectPr>
      </w:pPr>
    </w:p>
    <w:bookmarkStart w:id="258" w:name="page259"/>
    <w:bookmarkEnd w:id="258"/>
    <w:p>
      <w:pPr>
        <w:ind w:left="1420" w:hanging="316"/>
        <w:spacing w:after="0"/>
        <w:tabs>
          <w:tab w:leader="none" w:pos="142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your employment is terminated other than for reasons described in subsection</w:t>
      </w:r>
    </w:p>
    <w:p>
      <w:pPr>
        <w:spacing w:after="0" w:line="14" w:lineRule="exact"/>
        <w:rPr>
          <w:rFonts w:ascii="Times New Roman" w:cs="Times New Roman" w:eastAsia="Times New Roman" w:hAnsi="Times New Roman"/>
          <w:sz w:val="22"/>
          <w:szCs w:val="22"/>
          <w:color w:val="auto"/>
        </w:rPr>
      </w:pPr>
    </w:p>
    <w:p>
      <w:pPr>
        <w:ind w:left="1100" w:firstLine="4"/>
        <w:spacing w:after="0" w:line="237" w:lineRule="auto"/>
        <w:tabs>
          <w:tab w:leader="none" w:pos="1443"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other than the amounts specified in subsection (a) above, you will not be entitled to receive any payments under this Agreement.</w:t>
      </w:r>
    </w:p>
    <w:p>
      <w:pPr>
        <w:spacing w:after="0" w:line="178" w:lineRule="exact"/>
        <w:rPr>
          <w:rFonts w:ascii="Times New Roman" w:cs="Times New Roman" w:eastAsia="Times New Roman" w:hAnsi="Times New Roman"/>
          <w:sz w:val="22"/>
          <w:szCs w:val="22"/>
          <w:color w:val="auto"/>
        </w:rPr>
      </w:pPr>
    </w:p>
    <w:p>
      <w:pPr>
        <w:jc w:val="both"/>
        <w:ind w:left="1100" w:firstLine="4"/>
        <w:spacing w:after="0" w:line="226" w:lineRule="auto"/>
        <w:tabs>
          <w:tab w:leader="none" w:pos="1418"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 of any severance payments or benefits pursuant to subsection (b) above is expressly conditioned upon your (i) execution of a general waiver and release of claims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within fifty (50) days of your termination, and the Release becoming effective upon the expiration of the revocation period (which is 7 days after the Release is executed and returned to the Company) and (ii) continued compliance with this Agreement and the Covenant Agreement (as defined below). If an executed Release is not returned to the Company within fifty (50) days of termination or the Release is revoked by you, the Company shall be relieved of all obligations to pay you severance under this Agreement. The payment described in subsection (b)(ii) will be made on the sixtieth (60th) day following your termination of employment. Any payments described in subsection (b)(i) that would have been paid from the termination date through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your termination of employment will be paid in a lump sum on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your termination and the remaining installments will commence as of the next payroll period following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your termination of employment. Notwithstanding the foregoing, if such sixty (60) day period spans two calendar years, then the foregoing payments shall not commence until the second calendar year. All severance payments shall be subject to legally required tax withholdings and any elective withholdings.</w:t>
      </w:r>
    </w:p>
    <w:p>
      <w:pPr>
        <w:spacing w:after="0" w:line="183" w:lineRule="exact"/>
        <w:rPr>
          <w:rFonts w:ascii="Times New Roman" w:cs="Times New Roman" w:eastAsia="Times New Roman" w:hAnsi="Times New Roman"/>
          <w:sz w:val="22"/>
          <w:szCs w:val="22"/>
          <w:color w:val="auto"/>
        </w:rPr>
      </w:pPr>
    </w:p>
    <w:p>
      <w:pPr>
        <w:ind w:left="1860" w:hanging="756"/>
        <w:spacing w:after="0"/>
        <w:tabs>
          <w:tab w:leader="none" w:pos="186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w:t>
      </w:r>
    </w:p>
    <w:p>
      <w:pPr>
        <w:spacing w:after="0" w:line="206" w:lineRule="exact"/>
        <w:rPr>
          <w:sz w:val="20"/>
          <w:szCs w:val="20"/>
          <w:color w:val="auto"/>
        </w:rPr>
      </w:pPr>
    </w:p>
    <w:p>
      <w:pPr>
        <w:jc w:val="both"/>
        <w:ind w:left="1100"/>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(i) any theft, fraud, embezzlement, dishonesty, willful misconduct, breach of fiduciary duty for personal profit, falsification of any documents or records of the Company or any member of the Company Group, felony or similar act by you (whether or not related to your relationship with the Company); (ii) an act of moral turpitude by you, or any act that causes significant injury to, or is otherwise adversely affecting, the reputation, business, assets, operations or business relationship of the Company (or any member of the Company Group); (iii) any breach by you of any material agreement with or of any material duty of yours to the Company or any member of the Company Group (including breach of the Covenant Agreement) or failure to abide by code of conduct or other policies (including, without limitation, policies relating to confidentiality and reasonable workplace conduct); or (iv) any act which constitutes a breach of your fiduciary duty towards the Company or any member of the Company Group including disclosure of confidential or proprietary information thereof or acceptance or solicitation to receive unauthorized or undisclosed benefits, irrespective of their nature, or funds, or promises to receive either, from individuals, consultants or corporate entities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204470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1440" w:top="1395" w:right="639" w:bottom="1440" w:gutter="0" w:footer="0" w:header="0"/>
        </w:sectPr>
      </w:pPr>
    </w:p>
    <w:bookmarkStart w:id="259" w:name="page260"/>
    <w:bookmarkEnd w:id="259"/>
    <w:p>
      <w:pPr>
        <w:jc w:val="both"/>
        <w:ind w:left="1100"/>
        <w:spacing w:after="0" w:line="236" w:lineRule="auto"/>
        <w:rPr>
          <w:sz w:val="20"/>
          <w:szCs w:val="20"/>
          <w:color w:val="auto"/>
        </w:rPr>
      </w:pPr>
      <w:r>
        <w:rPr>
          <w:rFonts w:ascii="Times New Roman" w:cs="Times New Roman" w:eastAsia="Times New Roman" w:hAnsi="Times New Roman"/>
          <w:sz w:val="22"/>
          <w:szCs w:val="22"/>
          <w:color w:val="auto"/>
        </w:rPr>
        <w:t>Company or a Subsidiary does business with; (v) your unauthorized use, misappropriation, destruction, or diversion of any tangible or intangible asset or corporate opportunity of the Company or any member of the Company Group (including, without limitation, the improper use or disclosure of confidential or proprietary information). For the avoidance of doubt, the determination as to whether a termination is for Cause for purposes of this Agreement shall be made in good faith by the Compensation Committee and shall be final and binding on you.</w:t>
      </w:r>
    </w:p>
    <w:p>
      <w:pPr>
        <w:spacing w:after="0" w:line="181" w:lineRule="exact"/>
        <w:rPr>
          <w:sz w:val="20"/>
          <w:szCs w:val="20"/>
          <w:color w:val="auto"/>
        </w:rPr>
      </w:pPr>
    </w:p>
    <w:p>
      <w:pPr>
        <w:jc w:val="both"/>
        <w:ind w:left="1100"/>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xml:space="preserve">” means the occurrence of any of the following without your consent: (i) a material reduction in your then-current base salary, other than any such reduction that applies generally to similarly situated employees of the Company; (ii) a material diminution in your authority, duties or responsibilities under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you will not have the right to resign for Good Reason pursuant to this provision of the Good Reason definition due to a change in authority, duties or responsibilities solely as a result of Parent or the Company no longer being a publicly traded company; or (iii) a relocation of your principal place of employment by more than 50 miles from its location as of the date hereof. Notwithstanding the foregoing, you will not be deemed to have resigned for Good Reason unless (x) you have provided written notice to the Company of the existence of the circumstances providing grounds for termination for Good Reason within 15 days of the initial existence of such grounds, (y) the Company has not cured such circumstances within 30 days from the date on which such notice is provided and (z) you resign from your employment effective no later than 60 days after the initial existence of such grounds.</w:t>
      </w:r>
    </w:p>
    <w:p>
      <w:pPr>
        <w:spacing w:after="0" w:line="193" w:lineRule="exact"/>
        <w:rPr>
          <w:sz w:val="20"/>
          <w:szCs w:val="20"/>
          <w:color w:val="auto"/>
        </w:rPr>
      </w:pPr>
    </w:p>
    <w:p>
      <w:pPr>
        <w:jc w:val="both"/>
        <w:ind w:left="1100" w:hanging="1883"/>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Resignation: </w:t>
      </w:r>
      <w:r>
        <w:rPr>
          <w:rFonts w:ascii="Times New Roman" w:cs="Times New Roman" w:eastAsia="Times New Roman" w:hAnsi="Times New Roman"/>
          <w:sz w:val="22"/>
          <w:szCs w:val="22"/>
          <w:color w:val="auto"/>
        </w:rPr>
        <w:t>Effective as of the date of your termination of employment, unless otherwise requested by the Company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you will, automatically and without further action on your part or any other person or entity, resign from all offices, boards of directors (or similar governing bodies) and committees of</w:t>
      </w:r>
    </w:p>
    <w:p>
      <w:pPr>
        <w:spacing w:after="0" w:line="1" w:lineRule="exact"/>
        <w:rPr>
          <w:sz w:val="20"/>
          <w:szCs w:val="20"/>
          <w:color w:val="auto"/>
        </w:rPr>
      </w:pPr>
    </w:p>
    <w:p>
      <w:pPr>
        <w:jc w:val="both"/>
        <w:ind w:left="1100"/>
        <w:spacing w:after="0" w:line="234" w:lineRule="auto"/>
        <w:rPr>
          <w:sz w:val="20"/>
          <w:szCs w:val="20"/>
          <w:color w:val="auto"/>
        </w:rPr>
      </w:pPr>
      <w:r>
        <w:rPr>
          <w:rFonts w:ascii="Times New Roman" w:cs="Times New Roman" w:eastAsia="Times New Roman" w:hAnsi="Times New Roman"/>
          <w:sz w:val="22"/>
          <w:szCs w:val="22"/>
          <w:color w:val="auto"/>
        </w:rPr>
        <w:t>each member of the Company Group. You agree that you will, at the request of the Company, execute and deliver such documentation as may be required to effect such resignations, and authorize any member of the Company Group to file (or cause to be filed) such documentation, as necessary, with any applicable governmental authority.</w:t>
      </w:r>
    </w:p>
    <w:p>
      <w:pPr>
        <w:spacing w:after="0" w:line="200" w:lineRule="exact"/>
        <w:rPr>
          <w:sz w:val="20"/>
          <w:szCs w:val="20"/>
          <w:color w:val="auto"/>
        </w:rPr>
      </w:pPr>
    </w:p>
    <w:p>
      <w:pPr>
        <w:ind w:left="1100" w:hanging="1883"/>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Cooperation: </w:t>
      </w:r>
      <w:r>
        <w:rPr>
          <w:rFonts w:ascii="Times New Roman" w:cs="Times New Roman" w:eastAsia="Times New Roman" w:hAnsi="Times New Roman"/>
          <w:sz w:val="22"/>
          <w:szCs w:val="22"/>
          <w:color w:val="auto"/>
        </w:rPr>
        <w:t>In consideration for the promises and payments by the Company pursuant to this Agreement, at the request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Company, for a one-year period</w:t>
      </w:r>
    </w:p>
    <w:p>
      <w:pPr>
        <w:spacing w:after="0" w:line="2" w:lineRule="exact"/>
        <w:rPr>
          <w:sz w:val="20"/>
          <w:szCs w:val="20"/>
          <w:color w:val="auto"/>
        </w:rPr>
      </w:pPr>
    </w:p>
    <w:p>
      <w:pPr>
        <w:jc w:val="both"/>
        <w:ind w:left="1100"/>
        <w:spacing w:after="0" w:line="232" w:lineRule="auto"/>
        <w:rPr>
          <w:sz w:val="20"/>
          <w:szCs w:val="20"/>
          <w:color w:val="auto"/>
        </w:rPr>
      </w:pPr>
      <w:r>
        <w:rPr>
          <w:rFonts w:ascii="Times New Roman" w:cs="Times New Roman" w:eastAsia="Times New Roman" w:hAnsi="Times New Roman"/>
          <w:sz w:val="22"/>
          <w:szCs w:val="22"/>
          <w:color w:val="auto"/>
        </w:rPr>
        <w:t xml:space="preserve">following your termination of employment for any reason, you agree to cooperate to the fullest extent possible with respect to matters involving any member of the Company Group about which you have or may have knowledge, including any such matters which may arise before or after the Term;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such cooperation shall not unreasonably interfere with any obligations you may have to your current employer at the time. The Company will reimburse you for any reasonable, properly documented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215265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1440" w:top="1395" w:right="639" w:bottom="1440" w:gutter="0" w:footer="0" w:header="0"/>
        </w:sectPr>
      </w:pPr>
    </w:p>
    <w:bookmarkStart w:id="260" w:name="page261"/>
    <w:bookmarkEnd w:id="260"/>
    <w:p>
      <w:pPr>
        <w:ind w:left="1100"/>
        <w:spacing w:after="0" w:line="258" w:lineRule="auto"/>
        <w:rPr>
          <w:sz w:val="20"/>
          <w:szCs w:val="20"/>
          <w:color w:val="auto"/>
        </w:rPr>
      </w:pPr>
      <w:r>
        <w:rPr>
          <w:rFonts w:ascii="Times New Roman" w:cs="Times New Roman" w:eastAsia="Times New Roman" w:hAnsi="Times New Roman"/>
          <w:sz w:val="22"/>
          <w:szCs w:val="22"/>
          <w:color w:val="auto"/>
        </w:rPr>
        <w:t>of-pocket expenses, including your travel expenses and attorneys’ fees that you actually incur in connection with such cooperation.</w:t>
      </w:r>
    </w:p>
    <w:p>
      <w:pPr>
        <w:spacing w:after="0" w:line="154" w:lineRule="exact"/>
        <w:rPr>
          <w:sz w:val="20"/>
          <w:szCs w:val="20"/>
          <w:color w:val="auto"/>
        </w:rPr>
      </w:pPr>
    </w:p>
    <w:p>
      <w:pPr>
        <w:jc w:val="both"/>
        <w:ind w:left="1100" w:hanging="1883"/>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409A: </w:t>
      </w:r>
      <w:r>
        <w:rPr>
          <w:rFonts w:ascii="Times New Roman" w:cs="Times New Roman" w:eastAsia="Times New Roman" w:hAnsi="Times New Roman"/>
          <w:sz w:val="22"/>
          <w:szCs w:val="22"/>
          <w:color w:val="auto"/>
        </w:rPr>
        <w:t>All references in this Agreement to your termination of employment shall mean your “separation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within the meaning of Section 409A of the Code and Treasury regulations promulgated thereunder. This Agreement is intended to comply with Section 409A of the Code or an exemption thereunder and shall be construed and administered in</w:t>
      </w:r>
    </w:p>
    <w:p>
      <w:pPr>
        <w:spacing w:after="0" w:line="1" w:lineRule="exact"/>
        <w:rPr>
          <w:sz w:val="20"/>
          <w:szCs w:val="20"/>
          <w:color w:val="auto"/>
        </w:rPr>
      </w:pPr>
    </w:p>
    <w:p>
      <w:pPr>
        <w:jc w:val="both"/>
        <w:ind w:left="1100"/>
        <w:spacing w:after="0" w:line="231" w:lineRule="auto"/>
        <w:rPr>
          <w:sz w:val="20"/>
          <w:szCs w:val="20"/>
          <w:color w:val="auto"/>
        </w:rPr>
      </w:pPr>
      <w:r>
        <w:rPr>
          <w:rFonts w:ascii="Times New Roman" w:cs="Times New Roman" w:eastAsia="Times New Roman" w:hAnsi="Times New Roman"/>
          <w:sz w:val="22"/>
          <w:szCs w:val="22"/>
          <w:color w:val="auto"/>
        </w:rPr>
        <w:t>accordance with Section 409A. Any payments under this Agreement that may be excluded from Section 409A either as separation pay due to an involuntary separation from service or as a short-term deferral shall be excluded from Section 409A to the maximum extent possible. In the event the terms of this Agreement would subject you to the imposition of taxes and penalties under Section 409A (“</w:t>
      </w:r>
      <w:r>
        <w:rPr>
          <w:rFonts w:ascii="Times New Roman" w:cs="Times New Roman" w:eastAsia="Times New Roman" w:hAnsi="Times New Roman"/>
          <w:sz w:val="22"/>
          <w:szCs w:val="22"/>
          <w:u w:val="single" w:color="auto"/>
          <w:color w:val="auto"/>
        </w:rPr>
        <w:t>409A Penalties</w:t>
      </w:r>
      <w:r>
        <w:rPr>
          <w:rFonts w:ascii="Times New Roman" w:cs="Times New Roman" w:eastAsia="Times New Roman" w:hAnsi="Times New Roman"/>
          <w:sz w:val="22"/>
          <w:szCs w:val="22"/>
          <w:color w:val="auto"/>
        </w:rPr>
        <w:t xml:space="preserve">”), the Company and you shall cooperate diligently to amend the terms of this Agreement to avoid such 409A Penalties, to the extent possible;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avoidance of doubt, you shall be solely liable for any 409A Penalties incurred by you. To the extent that any amounts payable in installments under this Agreement are reasonably determined to be “nonqualified deferred compensation” within the meaning of Section 409A of the Code, then each such installment shall be treated as a right to receive a series of separate payments and, accordingly, each such installment payment shall at all times be considered a separate and distinct payment as permitted under Section 409A of the Code.</w:t>
      </w:r>
    </w:p>
    <w:p>
      <w:pPr>
        <w:spacing w:after="0" w:line="186" w:lineRule="exact"/>
        <w:rPr>
          <w:sz w:val="20"/>
          <w:szCs w:val="20"/>
          <w:color w:val="auto"/>
        </w:rPr>
      </w:pPr>
    </w:p>
    <w:p>
      <w:pPr>
        <w:jc w:val="both"/>
        <w:ind w:left="1100"/>
        <w:spacing w:after="0" w:line="234" w:lineRule="auto"/>
        <w:rPr>
          <w:sz w:val="20"/>
          <w:szCs w:val="20"/>
          <w:color w:val="auto"/>
        </w:rPr>
      </w:pPr>
      <w:r>
        <w:rPr>
          <w:rFonts w:ascii="Times New Roman" w:cs="Times New Roman" w:eastAsia="Times New Roman" w:hAnsi="Times New Roman"/>
          <w:sz w:val="22"/>
          <w:szCs w:val="22"/>
          <w:color w:val="auto"/>
        </w:rPr>
        <w:t>Notwithstanding any other provision in this Agreement, if as of the date on which your employment terminates, you are a “specified employee”, as determined by the Company, then with respect to any amount payable or benefit provided under this Agreement or otherwise that the Company reasonably determines would be nonqualified deferred compensation within the meaning of Section 409A of the Code and that under the terms of this Agreement would be payable prior to the six-month anniversary of your effective date of termination, then if required in order to avoid any penalties under Section 409A of the Code, such payment or benefit shall be delayed until the earlier to occur of (a) the first payroll date following the six-month anniversary of such termination date and (b) the date of your death.</w:t>
      </w:r>
    </w:p>
    <w:p>
      <w:pPr>
        <w:spacing w:after="0" w:line="183" w:lineRule="exact"/>
        <w:rPr>
          <w:sz w:val="20"/>
          <w:szCs w:val="20"/>
          <w:color w:val="auto"/>
        </w:rPr>
      </w:pPr>
    </w:p>
    <w:p>
      <w:pPr>
        <w:jc w:val="both"/>
        <w:ind w:left="1100"/>
        <w:spacing w:after="0" w:line="235" w:lineRule="auto"/>
        <w:rPr>
          <w:sz w:val="20"/>
          <w:szCs w:val="20"/>
          <w:color w:val="auto"/>
        </w:rPr>
      </w:pPr>
      <w:r>
        <w:rPr>
          <w:rFonts w:ascii="Times New Roman" w:cs="Times New Roman" w:eastAsia="Times New Roman" w:hAnsi="Times New Roman"/>
          <w:sz w:val="22"/>
          <w:szCs w:val="22"/>
          <w:color w:val="auto"/>
        </w:rPr>
        <w:t>With respect to any reimbursements under this Agreement, such reimbursement shall be made on or before the last day of your taxable year following the taxable year in which you incurred the expense. The amount of any expenses eligible for reimbursement or the amount of any in-kind benefits provided, as the case may be, under this Agreement during any calendar year shall not affect the amount of expenses eligible for reimbursement or the amount of any in-kind benefits provided during any other calendar year. The right to reimbursement or to any in-kind benefit pursuant to this Agreement shall not be subject to liquidation or exchange for any other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207010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1440" w:top="1395" w:right="639" w:bottom="1440" w:gutter="0" w:footer="0" w:header="0"/>
        </w:sectPr>
      </w:pPr>
    </w:p>
    <w:bookmarkStart w:id="261" w:name="page262"/>
    <w:bookmarkEnd w:id="261"/>
    <w:p>
      <w:pPr>
        <w:jc w:val="both"/>
        <w:ind w:left="2100" w:right="120"/>
        <w:spacing w:after="0" w:line="255" w:lineRule="auto"/>
        <w:rPr>
          <w:sz w:val="20"/>
          <w:szCs w:val="20"/>
          <w:color w:val="auto"/>
        </w:rPr>
      </w:pPr>
      <w:r>
        <w:rPr>
          <w:rFonts w:ascii="Times New Roman" w:cs="Times New Roman" w:eastAsia="Times New Roman" w:hAnsi="Times New Roman"/>
          <w:sz w:val="21"/>
          <w:szCs w:val="21"/>
          <w:color w:val="auto"/>
        </w:rPr>
        <w:t>You acknowledge and agree that notwithstanding any provision of this Agreement, the Company and its affiliates are not providing you with any tax advice with respect to Section 409A of the Code or otherwise and are not making any guarantees or other assurances of any kind to you with respect to the tax consequences or treatment of any amounts paid or payable to you under this Agreement.</w:t>
      </w:r>
    </w:p>
    <w:p>
      <w:pPr>
        <w:spacing w:after="0" w:line="185" w:lineRule="exact"/>
        <w:rPr>
          <w:sz w:val="20"/>
          <w:szCs w:val="20"/>
          <w:color w:val="auto"/>
        </w:rPr>
      </w:pPr>
    </w:p>
    <w:p>
      <w:pPr>
        <w:ind w:left="2100" w:right="120" w:hanging="1883"/>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Section 280G: </w:t>
      </w:r>
      <w:r>
        <w:rPr>
          <w:rFonts w:ascii="Times New Roman" w:cs="Times New Roman" w:eastAsia="Times New Roman" w:hAnsi="Times New Roman"/>
          <w:sz w:val="22"/>
          <w:szCs w:val="22"/>
          <w:color w:val="auto"/>
        </w:rPr>
        <w:t>If the present value of your Severance Benefits, either alone or together with other payments which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the right to receive from the Company (the</w:t>
      </w:r>
    </w:p>
    <w:p>
      <w:pPr>
        <w:spacing w:after="0" w:line="2" w:lineRule="exact"/>
        <w:rPr>
          <w:sz w:val="20"/>
          <w:szCs w:val="20"/>
          <w:color w:val="auto"/>
        </w:rPr>
      </w:pPr>
    </w:p>
    <w:p>
      <w:pPr>
        <w:jc w:val="both"/>
        <w:ind w:left="2100" w:right="120"/>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Benefits</w:t>
      </w:r>
      <w:r>
        <w:rPr>
          <w:rFonts w:ascii="Times New Roman" w:cs="Times New Roman" w:eastAsia="Times New Roman" w:hAnsi="Times New Roman"/>
          <w:sz w:val="22"/>
          <w:szCs w:val="22"/>
          <w:color w:val="auto"/>
        </w:rPr>
        <w:t>”), would constitute a “parachute payment” as defined in Section 280G of the Code, then your Benefits shall be either (i) provided to you in full, or (ii) provided to you only as to such lesser extent that would result in no portion of such Benefits being subject to the excise tax imposed by Section 4999 of the Code (the “</w:t>
      </w:r>
      <w:r>
        <w:rPr>
          <w:rFonts w:ascii="Times New Roman" w:cs="Times New Roman" w:eastAsia="Times New Roman" w:hAnsi="Times New Roman"/>
          <w:sz w:val="22"/>
          <w:szCs w:val="22"/>
          <w:b w:val="1"/>
          <w:bCs w:val="1"/>
          <w:color w:val="auto"/>
        </w:rPr>
        <w:t>Excise Tax</w:t>
      </w:r>
      <w:r>
        <w:rPr>
          <w:rFonts w:ascii="Times New Roman" w:cs="Times New Roman" w:eastAsia="Times New Roman" w:hAnsi="Times New Roman"/>
          <w:sz w:val="22"/>
          <w:szCs w:val="22"/>
          <w:color w:val="auto"/>
        </w:rPr>
        <w:t>”), whichever of the foregoing amounts, taking into account the applicable federal, state, and local income and employment taxes and the Excise Tax, results in the receipt by you, on an after-tax basis, of the greatest amount of benefits, notwithstanding that all or some portion of such Benefits may be taxable under the Excise Tax.</w:t>
      </w:r>
    </w:p>
    <w:p>
      <w:pPr>
        <w:spacing w:after="0" w:line="181" w:lineRule="exact"/>
        <w:rPr>
          <w:sz w:val="20"/>
          <w:szCs w:val="20"/>
          <w:color w:val="auto"/>
        </w:rPr>
      </w:pPr>
    </w:p>
    <w:p>
      <w:pPr>
        <w:jc w:val="both"/>
        <w:ind w:left="2100" w:right="120"/>
        <w:spacing w:after="0" w:line="244" w:lineRule="auto"/>
        <w:rPr>
          <w:sz w:val="20"/>
          <w:szCs w:val="20"/>
          <w:color w:val="auto"/>
        </w:rPr>
      </w:pPr>
      <w:r>
        <w:rPr>
          <w:rFonts w:ascii="Times New Roman" w:cs="Times New Roman" w:eastAsia="Times New Roman" w:hAnsi="Times New Roman"/>
          <w:sz w:val="21"/>
          <w:szCs w:val="21"/>
          <w:color w:val="auto"/>
        </w:rPr>
        <w:t>Unless the Company and you otherwise agree, any determination required under section shall be made in writing in good faith by the Company’s independent accounting firm or such other nationally or regionally recognized accounting firm selected by the Company (the “</w:t>
      </w:r>
      <w:r>
        <w:rPr>
          <w:rFonts w:ascii="Times New Roman" w:cs="Times New Roman" w:eastAsia="Times New Roman" w:hAnsi="Times New Roman"/>
          <w:sz w:val="21"/>
          <w:szCs w:val="21"/>
          <w:b w:val="1"/>
          <w:bCs w:val="1"/>
          <w:color w:val="auto"/>
        </w:rPr>
        <w:t>Accountants</w:t>
      </w:r>
      <w:r>
        <w:rPr>
          <w:rFonts w:ascii="Times New Roman" w:cs="Times New Roman" w:eastAsia="Times New Roman" w:hAnsi="Times New Roman"/>
          <w:sz w:val="21"/>
          <w:szCs w:val="21"/>
          <w:color w:val="auto"/>
        </w:rPr>
        <w:t xml:space="preserve">”), whose determination shall be conclusive and binding upon you and the Company for all purposes. In the event that a reduction to the Benefits under this section, the reduction shall apply first to the Benefits that are not deferred compensation subject to Section 409A of the Code and you shall be given the choice, subject to approval by the Company, of which of such Benefits to reduce;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that </w:t>
      </w:r>
      <w:r>
        <w:rPr>
          <w:rFonts w:ascii="Times New Roman" w:cs="Times New Roman" w:eastAsia="Times New Roman" w:hAnsi="Times New Roman"/>
          <w:sz w:val="21"/>
          <w:szCs w:val="21"/>
          <w:color w:val="auto"/>
        </w:rPr>
        <w:t>such reduction achieves the result specified in clause (ii) above of this section. If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reduction in the Benefits that are subject to Section 409A of the Code is required, such Benefits shall be reduced pro rata, but with no change in the time at which such Benefits shall be paid. For purposes of making the calculations required by this section, the Accountants may make reasonable assumptions and approximations concerning applicable taxes and may rely on reasonable, good faith interpretations concerning the application of the Code. The Company and you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w:t>
      </w:r>
    </w:p>
    <w:p>
      <w:pPr>
        <w:spacing w:after="0" w:line="18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2.You acknowledge and agree that you will continue to be subject to any confidentiality, non-disclosure, non-use, non-competition, non-solicitation or other covenants that you may be subject to under any agreement with the Company or any member of the Company Group (collectively, the “</w:t>
      </w:r>
      <w:r>
        <w:rPr>
          <w:rFonts w:ascii="Times New Roman" w:cs="Times New Roman" w:eastAsia="Times New Roman" w:hAnsi="Times New Roman"/>
          <w:sz w:val="22"/>
          <w:szCs w:val="22"/>
          <w:u w:val="single" w:color="auto"/>
          <w:color w:val="auto"/>
        </w:rPr>
        <w:t>Covenant Agreement</w:t>
      </w:r>
      <w:r>
        <w:rPr>
          <w:rFonts w:ascii="Times New Roman" w:cs="Times New Roman" w:eastAsia="Times New Roman" w:hAnsi="Times New Roman"/>
          <w:sz w:val="22"/>
          <w:szCs w:val="22"/>
          <w:color w:val="auto"/>
        </w:rPr>
        <w:t>”). Notwithstanding any provision in this Agreement, the Covenant Agreement or otherwise to the contrary, nothing in this Agreement, the Covenant Agreement or otherwise precludes or otherwise limits your ability to (A) communicate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202565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40" w:top="1395" w:right="519" w:bottom="1440" w:gutter="0" w:footer="0" w:header="0"/>
        </w:sectPr>
      </w:pPr>
    </w:p>
    <w:bookmarkStart w:id="262" w:name="page263"/>
    <w:bookmarkEnd w:id="262"/>
    <w:p>
      <w:pPr>
        <w:jc w:val="both"/>
        <w:spacing w:after="0" w:line="234" w:lineRule="auto"/>
        <w:rPr>
          <w:sz w:val="20"/>
          <w:szCs w:val="20"/>
          <w:color w:val="auto"/>
        </w:rPr>
      </w:pPr>
      <w:r>
        <w:rPr>
          <w:rFonts w:ascii="Times New Roman" w:cs="Times New Roman" w:eastAsia="Times New Roman" w:hAnsi="Times New Roman"/>
          <w:sz w:val="22"/>
          <w:szCs w:val="22"/>
          <w:color w:val="auto"/>
        </w:rPr>
        <w:t>directly with and provide information, including documents, not otherwise protected from disclosure by any applicable law or privilege to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or any other federal, state or local governmental agency or commission (“</w:t>
      </w:r>
      <w:r>
        <w:rPr>
          <w:rFonts w:ascii="Times New Roman" w:cs="Times New Roman" w:eastAsia="Times New Roman" w:hAnsi="Times New Roman"/>
          <w:sz w:val="22"/>
          <w:szCs w:val="22"/>
          <w:u w:val="single" w:color="auto"/>
          <w:color w:val="auto"/>
        </w:rPr>
        <w:t>Government Agency</w:t>
      </w:r>
      <w:r>
        <w:rPr>
          <w:rFonts w:ascii="Times New Roman" w:cs="Times New Roman" w:eastAsia="Times New Roman" w:hAnsi="Times New Roman"/>
          <w:sz w:val="22"/>
          <w:szCs w:val="22"/>
          <w:color w:val="auto"/>
        </w:rPr>
        <w:t>”) or self-regulatory organization regarding possible legal violations, without disclosure to the Company, or (B) disclose information which is required to be disclosed by applicable law, regulation, or order or requirement (including without limitation, by deposition, interrogatory, requests for documents, subpoena, civil investigative demand or similar process) of courts, administrative agencies, the SEC, any Government Agency or self-regulatory organizations, provided that you provide the Company with prior notice of the contemplated disclosure and cooperate with the Company in seeking a protective order or other appropriate protection of such information. The Company may not retaliate against you for any of these activities.</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3.You represent that your performance of all of the terms of this Agreement and the performance of the services for the Company Group do not and will not breach or conflict with any agreement with a third party, including an agreement not to compete or to keep in confidence any proprietary information of another entity acquired by you in confidence or in trust prior to the date of this Agreement. You agree that you will not enter into any agreement that conflicts with this Agreement at any time prior to the Effective Date or during the term of your employment with the Company.</w:t>
      </w:r>
    </w:p>
    <w:p>
      <w:pPr>
        <w:spacing w:after="0" w:line="17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4.All payments made under this Agreement shall be reduced by any tax or other amounts required to be withheld under applicable law.</w:t>
      </w:r>
    </w:p>
    <w:p>
      <w:pPr>
        <w:spacing w:after="0" w:line="15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5.The parties hereby agree that any suit, action or proceeding seeking to enforce any provision of, or based on any matter arising out of or in connection with, this Agreement shall only be brought in the Chancery Court of the State of Delaware (or other appropriate state court in the State of Delaware) or the Federal courts located in the State of Delaware and not in any other State or Federal courts located in the United States of America or any court in any other country,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The parties hereby agree that process in any such suit, action or proceeding may be served on either party anywhere in the world, whether within or without the jurisdiction of any such court. EACH OF THE PARTIES HERETO HEREBY IRREVOCABLY WAIVES ANY AND ALL RIGHTS TO TRIAL BY JURY IN ANY LEGAL PROCEEDING ARISING OUT OF OR RELATED TO THIS AGREEMENT OR THE TRANSACTIONS CONTEMPLATED HEREBY.</w:t>
      </w:r>
    </w:p>
    <w:p>
      <w:pPr>
        <w:spacing w:after="0" w:line="18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6.This Agreement shall be governed, construed, interpreted and enforced in accordance with its express terms, and otherwise in accordance with the substantive laws of the State of Delaware, without reference to the principles of conflicts of law or choice of law of the State of Delaware, or any other jurisdiction, and where applicable, the laws of the United States.</w:t>
      </w:r>
    </w:p>
    <w:p>
      <w:pPr>
        <w:spacing w:after="0" w:line="15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7.The invalidity or unenforceability of any provision or provisions of this Agreement shall not affect the validity or enforceability of any other provision of this Agreement, which shall remain in full force and effect.</w:t>
      </w:r>
    </w:p>
    <w:p>
      <w:pPr>
        <w:spacing w:after="0" w:line="2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8.The terms of this Agreement and the Covenant Agreement are intended by the parties to be the final expression of their agreement with respect to your employment by the Company and supersede, effective as of the Effective Date, all prior understandings and agreements with respect to your employment by the Company, whether written or oral.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200660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40" w:top="1395" w:right="51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22"/>
          <w:szCs w:val="22"/>
          <w:color w:val="auto"/>
        </w:rPr>
        <w:t xml:space="preserve">avoidance of doubt, if the Effective Date does not occur, this Agreement will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9.By signing this Agreement, you acknowledge that the terms of this Agreement are confidential and may not be disclosed in any manner or form to any party, other than as required by applicable law (including any public disclosure requirements) or as necessary to enforce the terms of this Agreement or to your spouse, attorney and/or tax advisor (if any), without the prior written approval of the Company. You further acknowledge that you will be bound by the terms and conditions contained in the Company’s employee handbook, as it may be amended from time to time to the extent not inconsistent with this Agreement and will, upon request of the Company, sign a copy thereof from time to time.</w:t>
      </w:r>
    </w:p>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10.The rights and benefits under this Agreement are personal to you and such rights and benefits shall not be subject to assignment, alienation or transfer, except to the extent such rights and benefits are lawfully available to your estate or any of your beneficiaries upon your death. The Company may assign this Agreement to any affiliate or subsidiary at any time and shall require any entity which at any time becomes a successor, whether by merger, purchase, or otherwise, or otherwise acquires all or substantially all of the assets, membership interests or business of the Company, to expressly assume this Agreement.</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11.This Agreement may be executed in several counterparts, each of which shall be deemed to be an original, but all of which together will constitute one and the same Agreement. Signatures delivered by facsimile shall be deemed effective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200660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40" w:top="1391" w:right="539" w:bottom="1440" w:gutter="0" w:footer="0" w:header="0"/>
        </w:sectPr>
      </w:pPr>
    </w:p>
    <w:bookmarkStart w:id="264" w:name="page265"/>
    <w:bookmarkEnd w:id="264"/>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231140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5" w:name="page266"/>
    <w:bookmarkEnd w:id="265"/>
    <w:p>
      <w:pPr>
        <w:spacing w:after="0" w:line="258" w:lineRule="auto"/>
        <w:rPr>
          <w:sz w:val="20"/>
          <w:szCs w:val="20"/>
          <w:color w:val="auto"/>
        </w:rPr>
      </w:pPr>
      <w:r>
        <w:rPr>
          <w:rFonts w:ascii="Times New Roman" w:cs="Times New Roman" w:eastAsia="Times New Roman" w:hAnsi="Times New Roman"/>
          <w:sz w:val="22"/>
          <w:szCs w:val="22"/>
          <w:color w:val="auto"/>
        </w:rPr>
        <w:t>Please sign this Agreement in the space indicated and return it to my attention to evidence your understanding and acceptance of the terms set forth herein.</w:t>
      </w:r>
    </w:p>
    <w:p>
      <w:pPr>
        <w:spacing w:after="0" w:line="200" w:lineRule="exact"/>
        <w:rPr>
          <w:sz w:val="20"/>
          <w:szCs w:val="20"/>
          <w:color w:val="auto"/>
        </w:rPr>
      </w:pPr>
    </w:p>
    <w:p>
      <w:pPr>
        <w:spacing w:after="0" w:line="3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Sincerely, PROKIDNEY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607060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40" w:top="1395" w:right="359" w:bottom="1440" w:gutter="0" w:footer="0" w:header="0"/>
        </w:sectPr>
      </w:pPr>
    </w:p>
    <w:bookmarkStart w:id="266" w:name="page267"/>
    <w:bookmarkEnd w:id="266"/>
    <w:p>
      <w:pPr>
        <w:ind w:left="3760"/>
        <w:spacing w:after="0"/>
        <w:rPr>
          <w:sz w:val="20"/>
          <w:szCs w:val="20"/>
          <w:color w:val="auto"/>
        </w:rPr>
      </w:pPr>
      <w:r>
        <w:rPr>
          <w:rFonts w:ascii="Times New Roman" w:cs="Times New Roman" w:eastAsia="Times New Roman" w:hAnsi="Times New Roman"/>
          <w:sz w:val="22"/>
          <w:szCs w:val="22"/>
          <w:color w:val="auto"/>
        </w:rPr>
        <w:t>By: /s/ Timothy Bertram</w:t>
      </w:r>
    </w:p>
    <w:p>
      <w:pPr>
        <w:spacing w:after="0" w:line="20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 Timothy Bertram, Ph.D.</w:t>
      </w:r>
    </w:p>
    <w:p>
      <w:pPr>
        <w:spacing w:after="0" w:line="1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color w:val="auto"/>
        </w:rPr>
        <w:t>Position: Chief Executive Officer</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Agreed to and Accepted: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Todd Girolamo</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Todd Girolamo, J.D., MBA</w:t>
      </w:r>
    </w:p>
    <w:p>
      <w:pPr>
        <w:spacing w:after="0" w:line="2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14" w:right="1440"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236220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323" w:right="1440" w:bottom="1440" w:gutter="0" w:footer="0" w:header="0"/>
        </w:sectPr>
      </w:pPr>
    </w:p>
    <w:bookmarkStart w:id="268" w:name="page269"/>
    <w:bookmarkEnd w:id="268"/>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4"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u w:val="single" w:color="auto"/>
          <w:color w:val="auto"/>
        </w:rPr>
        <w:t>The language in this Release may change based on legal developments and evolving best practices; this form is 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as an example of what will be included in the final Release document.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color w:val="auto"/>
          <w:vertAlign w:val="superscript"/>
        </w:rPr>
        <w:t>1</w:t>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GENERAL RELEASE OF ALL CLAIMS</w:t>
      </w:r>
    </w:p>
    <w:p>
      <w:pPr>
        <w:spacing w:after="0" w:line="210" w:lineRule="exact"/>
        <w:rPr>
          <w:sz w:val="20"/>
          <w:szCs w:val="20"/>
          <w:color w:val="auto"/>
        </w:rPr>
      </w:pPr>
    </w:p>
    <w:p>
      <w:pPr>
        <w:jc w:val="both"/>
        <w:ind w:firstLine="749"/>
        <w:spacing w:after="0" w:line="231" w:lineRule="auto"/>
        <w:rPr>
          <w:sz w:val="20"/>
          <w:szCs w:val="20"/>
          <w:color w:val="auto"/>
        </w:rPr>
      </w:pPr>
      <w:r>
        <w:rPr>
          <w:rFonts w:ascii="Times New Roman" w:cs="Times New Roman" w:eastAsia="Times New Roman" w:hAnsi="Times New Roman"/>
          <w:sz w:val="22"/>
          <w:szCs w:val="22"/>
          <w:color w:val="auto"/>
        </w:rPr>
        <w:t>1.For valuable consideration, the adequacy of which is hereby acknowledged, [NAME]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for himself, his spouse, heirs, administrators, children, representatives, executors, successors, assigns, trusts for his benefit and all other persons claiming through Executive, if any (collectively, “</w:t>
      </w:r>
      <w:r>
        <w:rPr>
          <w:rFonts w:ascii="Times New Roman" w:cs="Times New Roman" w:eastAsia="Times New Roman" w:hAnsi="Times New Roman"/>
          <w:sz w:val="22"/>
          <w:szCs w:val="22"/>
          <w:u w:val="single" w:color="auto"/>
          <w:color w:val="auto"/>
        </w:rPr>
        <w:t>Releasers</w:t>
      </w:r>
      <w:r>
        <w:rPr>
          <w:rFonts w:ascii="Times New Roman" w:cs="Times New Roman" w:eastAsia="Times New Roman" w:hAnsi="Times New Roman"/>
          <w:sz w:val="22"/>
          <w:szCs w:val="22"/>
          <w:color w:val="auto"/>
        </w:rPr>
        <w:t>”), does hereby release, waive, and forever discharge ProKidney,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ProKidney Corp. and their respective subsidiaries, parents, affiliates, related organizations, and equity holders, and their respective affiliates (including trustees and beneficiaries of trusts that are direct and indirect equity holders), employees, officers, directors, attorneys, successors, and assigns or each of the foregoing (collectively, the “</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from, and does fully waive any obligations or liabilities of Releasees to Releasers of any kind and nature that Releasers had, have, or might claim to have against Releasees at the time Executive executes this General Release for or in respect of any and all liability, actions, charges, causes of action, demands, damages, or claims for relief, remuneration, sums of money, accounts or expenses, and any action arising in tort including libel, slander, defamation or intentional infliction of emotional distress, and claims under any federal, state or local statute including Title VII of the Civil Rights Act of 1964, the Civil Rights Act of 1866 and 1871 (42 U.S.C. § 1981), the Equal Pay Act, Employee Retirement Income Security Act, Family and Medical Leave Act, the National Labor Relations Act, the Fair Labor Standards Act, the Americans with Disabilities Act of 1990, the Age Discrimination in Employment Act of 1967, the Rehabilitation Act of 1973, or the discrimination or employment laws of any state or municipality, and/or any claims under any express or implied contract which Releasers may claim existed with Releasees. This also includes a release by Executive of any claims for breach of contract, wrongful discharge and all claims for alleged physical or personal injury, emotional distress relating to or arising out of Executive’s employment with Company or the termination of that employment; and any claims under the WARN Act or any similar law, which requires, among other things, that advance notice be given of certain work force reductions. This release and waiver does not apply to any claims or rights that may arise after the date Executive signs this General Release. The foregoing release does not apply to (a) any claims or rights for compensation, benefits, indemnification and any other surviving rights now existing under the Employment Letter between the Company and Executive dated as of [●], 2022 (the “</w:t>
      </w:r>
      <w:r>
        <w:rPr>
          <w:rFonts w:ascii="Times New Roman" w:cs="Times New Roman" w:eastAsia="Times New Roman" w:hAnsi="Times New Roman"/>
          <w:sz w:val="22"/>
          <w:szCs w:val="22"/>
          <w:u w:val="single" w:color="auto"/>
          <w:color w:val="auto"/>
        </w:rPr>
        <w:t>Employment Letter</w:t>
      </w:r>
      <w:r>
        <w:rPr>
          <w:rFonts w:ascii="Times New Roman" w:cs="Times New Roman" w:eastAsia="Times New Roman" w:hAnsi="Times New Roman"/>
          <w:sz w:val="22"/>
          <w:szCs w:val="22"/>
          <w:color w:val="auto"/>
        </w:rPr>
        <w:t>”), the organizational documents of the Company or any of its affiliates or any other agreement providing for indemnification regardless of when any claim is filed, (b) any claims or rights under directors and officers liability insurance, or (c) any claims or rights accruing to any Releaser in its capacity as an equity holder of ProKidney Corp. or any of its subsidiaries.</w:t>
      </w:r>
    </w:p>
    <w:p>
      <w:pPr>
        <w:spacing w:after="0" w:line="20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22"/>
          <w:szCs w:val="22"/>
          <w:color w:val="auto"/>
        </w:rPr>
        <w:t>2.Excluded from this release and waiver are any claims which cannot be waived by law, including but not limited to the right to participate in an investigation conducted by certain</w:t>
      </w:r>
    </w:p>
    <w:p>
      <w:pPr>
        <w:spacing w:after="0" w:line="200" w:lineRule="exact"/>
        <w:rPr>
          <w:sz w:val="20"/>
          <w:szCs w:val="20"/>
          <w:color w:val="auto"/>
        </w:rPr>
      </w:pPr>
    </w:p>
    <w:p>
      <w:pPr>
        <w:spacing w:after="0" w:line="209" w:lineRule="exact"/>
        <w:rPr>
          <w:sz w:val="20"/>
          <w:szCs w:val="20"/>
          <w:color w:val="auto"/>
        </w:rPr>
      </w:pPr>
    </w:p>
    <w:p>
      <w:pPr>
        <w:ind w:left="840" w:hanging="100"/>
        <w:spacing w:after="0"/>
        <w:tabs>
          <w:tab w:leader="none" w:pos="840" w:val="left"/>
        </w:tabs>
        <w:numPr>
          <w:ilvl w:val="0"/>
          <w:numId w:val="19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b w:val="1"/>
          <w:bCs w:val="1"/>
          <w:color w:val="auto"/>
        </w:rPr>
        <w:t>Note to Draft</w:t>
      </w:r>
      <w:r>
        <w:rPr>
          <w:rFonts w:ascii="Times New Roman" w:cs="Times New Roman" w:eastAsia="Times New Roman" w:hAnsi="Times New Roman"/>
          <w:sz w:val="18"/>
          <w:szCs w:val="18"/>
          <w:color w:val="auto"/>
        </w:rPr>
        <w:t>: To be updated for applicability of ADEA and multiple terminations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210185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91" w:right="459" w:bottom="1440" w:gutter="0" w:footer="0" w:header="0"/>
        </w:sectPr>
      </w:pPr>
    </w:p>
    <w:bookmarkStart w:id="269" w:name="page270"/>
    <w:bookmarkEnd w:id="269"/>
    <w:p>
      <w:pPr>
        <w:jc w:val="both"/>
        <w:spacing w:after="0" w:line="239" w:lineRule="auto"/>
        <w:rPr>
          <w:sz w:val="20"/>
          <w:szCs w:val="20"/>
          <w:color w:val="auto"/>
        </w:rPr>
      </w:pPr>
      <w:r>
        <w:rPr>
          <w:rFonts w:ascii="Times New Roman" w:cs="Times New Roman" w:eastAsia="Times New Roman" w:hAnsi="Times New Roman"/>
          <w:sz w:val="22"/>
          <w:szCs w:val="22"/>
          <w:color w:val="auto"/>
        </w:rPr>
        <w:t>government agencies. Executive does, however, waive Executive’s right to any monetary recovery should any agency (such as the Equal Employment Opportunity Commission) pursue any claims on Executive’s behalf. Executive represents and warrants that Executive has not filed any complaint, charge, or lawsuit against the Releasees with any government agency or any court.</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3.Executive agrees never to sue Releasees in any forum for any claim covered by the above waiver and release language. If Executive violates this General Release by suing Releasees, other than as set forth in Section 1 hereof, Executive shall be liable to the Company for its reasonable attorneys’ fees and other litigation costs incurred in defending against such a suit. Executive represents and warrants that he has not assigned or transferred, in any manner, including by subrogation or operation of law, any portion of any claim, action, complaint, charge or suit encompassed by the releases set forth in this General Release.</w:t>
      </w:r>
    </w:p>
    <w:p>
      <w:pPr>
        <w:spacing w:after="0" w:line="181" w:lineRule="exact"/>
        <w:rPr>
          <w:sz w:val="20"/>
          <w:szCs w:val="20"/>
          <w:color w:val="auto"/>
        </w:rPr>
      </w:pPr>
    </w:p>
    <w:p>
      <w:pPr>
        <w:ind w:left="1500" w:hanging="758"/>
        <w:spacing w:after="0"/>
        <w:tabs>
          <w:tab w:leader="none" w:pos="150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recites that:</w:t>
      </w:r>
    </w:p>
    <w:p>
      <w:pPr>
        <w:spacing w:after="0" w:line="206" w:lineRule="exact"/>
        <w:rPr>
          <w:rFonts w:ascii="Times New Roman" w:cs="Times New Roman" w:eastAsia="Times New Roman" w:hAnsi="Times New Roman"/>
          <w:sz w:val="22"/>
          <w:szCs w:val="22"/>
          <w:color w:val="auto"/>
        </w:rPr>
      </w:pPr>
    </w:p>
    <w:p>
      <w:pPr>
        <w:ind w:left="2240" w:hanging="750"/>
        <w:spacing w:after="0"/>
        <w:tabs>
          <w:tab w:leader="none" w:pos="2240"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executed this General Release knowingly and voluntarily;</w:t>
      </w:r>
    </w:p>
    <w:p>
      <w:pPr>
        <w:spacing w:after="0" w:line="206" w:lineRule="exact"/>
        <w:rPr>
          <w:rFonts w:ascii="Times New Roman" w:cs="Times New Roman" w:eastAsia="Times New Roman" w:hAnsi="Times New Roman"/>
          <w:sz w:val="22"/>
          <w:szCs w:val="22"/>
          <w:color w:val="auto"/>
        </w:rPr>
      </w:pPr>
    </w:p>
    <w:p>
      <w:pPr>
        <w:ind w:left="2240" w:hanging="750"/>
        <w:spacing w:after="0"/>
        <w:tabs>
          <w:tab w:leader="none" w:pos="2240"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read and understands this General Release in its entirety;</w:t>
      </w:r>
    </w:p>
    <w:p>
      <w:pPr>
        <w:spacing w:after="0" w:line="206" w:lineRule="exact"/>
        <w:rPr>
          <w:rFonts w:ascii="Times New Roman" w:cs="Times New Roman" w:eastAsia="Times New Roman" w:hAnsi="Times New Roman"/>
          <w:sz w:val="22"/>
          <w:szCs w:val="22"/>
          <w:color w:val="auto"/>
        </w:rPr>
      </w:pPr>
    </w:p>
    <w:p>
      <w:pPr>
        <w:jc w:val="both"/>
        <w:ind w:firstLine="1490"/>
        <w:spacing w:after="0" w:line="244" w:lineRule="auto"/>
        <w:tabs>
          <w:tab w:leader="none" w:pos="1924"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been advised and directed orally and in writing (and this subsection (c) constitutes such written direction) to seek legal counsel and any other advice he wishes with respect to the terms of this General Release before executing it;</w:t>
      </w:r>
    </w:p>
    <w:p>
      <w:pPr>
        <w:spacing w:after="0" w:line="173" w:lineRule="exact"/>
        <w:rPr>
          <w:rFonts w:ascii="Times New Roman" w:cs="Times New Roman" w:eastAsia="Times New Roman" w:hAnsi="Times New Roman"/>
          <w:sz w:val="22"/>
          <w:szCs w:val="22"/>
          <w:color w:val="auto"/>
        </w:rPr>
      </w:pPr>
    </w:p>
    <w:p>
      <w:pPr>
        <w:ind w:right="20" w:firstLine="1490"/>
        <w:spacing w:after="0" w:line="258" w:lineRule="auto"/>
        <w:tabs>
          <w:tab w:leader="none" w:pos="1924"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execution of this General Release has not been forced by any employee or agent of the Company, and Executive has had an opportunity to negotiate about the terms of this General Release;</w:t>
      </w:r>
    </w:p>
    <w:p>
      <w:pPr>
        <w:spacing w:after="0" w:line="158" w:lineRule="exact"/>
        <w:rPr>
          <w:rFonts w:ascii="Times New Roman" w:cs="Times New Roman" w:eastAsia="Times New Roman" w:hAnsi="Times New Roman"/>
          <w:sz w:val="22"/>
          <w:szCs w:val="22"/>
          <w:color w:val="auto"/>
        </w:rPr>
      </w:pPr>
    </w:p>
    <w:p>
      <w:pPr>
        <w:ind w:firstLine="1490"/>
        <w:spacing w:after="0" w:line="258" w:lineRule="auto"/>
        <w:tabs>
          <w:tab w:leader="none" w:pos="1924"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been given at least twenty-one (21) days to consider this General Release, and if executed prior to the expiration of the twenty-one (21) day period, such execution is knowing and voluntary; and</w:t>
      </w:r>
    </w:p>
    <w:p>
      <w:pPr>
        <w:spacing w:after="0" w:line="158" w:lineRule="exact"/>
        <w:rPr>
          <w:rFonts w:ascii="Times New Roman" w:cs="Times New Roman" w:eastAsia="Times New Roman" w:hAnsi="Times New Roman"/>
          <w:sz w:val="22"/>
          <w:szCs w:val="22"/>
          <w:color w:val="auto"/>
        </w:rPr>
      </w:pPr>
    </w:p>
    <w:p>
      <w:pPr>
        <w:ind w:right="20" w:firstLine="1490"/>
        <w:spacing w:after="0" w:line="258" w:lineRule="auto"/>
        <w:tabs>
          <w:tab w:leader="none" w:pos="1924"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additional benefits and other promises that Executive is to receive under the Employment Letter are sufficient consideration for this General Release.</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5.This General Release shall be governed by the internal laws (and not the choice of laws) of the State of Delaware, except for the application of pre-emptive Federal law.</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6.Any dispute or controversy arising under or in connection with this General Release shall be settled exclusively by arbitration in accordance with the provisions of Section 4 of the Employment Letter.</w:t>
      </w:r>
    </w:p>
    <w:p>
      <w:pPr>
        <w:spacing w:after="0" w:line="158"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7.Executive may revoke this General Release within seven (7) calendar days after signing it. To be effective, such revocation must be made in writing to the Board of Directors of ProKidney Corp., with a copy received at 2000 Frontis Plaza Blvd., Ste. 250 Winston-Salem, NC 27103 Attention: Todd Girolamo. Revocation can be made by hand delivery, telegram, facsimile, or postmarking before the expiration of this seven (7) day period. None of the obligations of the Company under the Employment Letter shall be effective in the event that Executive revokes this General Release pursuant to this Section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197485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40" w:top="1395" w:right="519" w:bottom="1440" w:gutter="0" w:footer="0" w:header="0"/>
        </w:sectPr>
      </w:pPr>
    </w:p>
    <w:bookmarkStart w:id="270" w:name="page271"/>
    <w:bookmarkEnd w:id="270"/>
    <w:p>
      <w:pPr>
        <w:jc w:val="center"/>
        <w:ind w:right="79"/>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231140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1" w:right="1440" w:bottom="1440" w:gutter="0" w:footer="0" w:header="0"/>
        </w:sectPr>
      </w:pPr>
    </w:p>
    <w:bookmarkStart w:id="271" w:name="page272"/>
    <w:bookmarkEnd w:id="271"/>
    <w:p>
      <w:pPr>
        <w:jc w:val="right"/>
        <w:spacing w:after="0"/>
        <w:rPr>
          <w:sz w:val="20"/>
          <w:szCs w:val="20"/>
          <w:color w:val="auto"/>
        </w:rPr>
      </w:pPr>
      <w:r>
        <w:rPr>
          <w:rFonts w:ascii="Arial" w:cs="Arial" w:eastAsia="Arial" w:hAnsi="Arial"/>
          <w:sz w:val="20"/>
          <w:szCs w:val="20"/>
          <w:b w:val="1"/>
          <w:bCs w:val="1"/>
          <w:color w:val="auto"/>
        </w:rPr>
        <w:t>Exhibit 19.1</w:t>
      </w:r>
    </w:p>
    <w:p>
      <w:pPr>
        <w:spacing w:after="0" w:line="200" w:lineRule="exact"/>
        <w:rPr>
          <w:sz w:val="20"/>
          <w:szCs w:val="20"/>
          <w:color w:val="auto"/>
        </w:rPr>
      </w:pPr>
    </w:p>
    <w:p>
      <w:pPr>
        <w:spacing w:after="0" w:line="363" w:lineRule="exact"/>
        <w:rPr>
          <w:sz w:val="20"/>
          <w:szCs w:val="20"/>
          <w:color w:val="auto"/>
        </w:rPr>
      </w:pPr>
    </w:p>
    <w:p>
      <w:pPr>
        <w:jc w:val="center"/>
        <w:ind w:right="198"/>
        <w:spacing w:after="0"/>
        <w:rPr>
          <w:sz w:val="20"/>
          <w:szCs w:val="20"/>
          <w:color w:val="auto"/>
        </w:rPr>
      </w:pPr>
      <w:r>
        <w:rPr>
          <w:rFonts w:ascii="Arial" w:cs="Arial" w:eastAsia="Arial" w:hAnsi="Arial"/>
          <w:sz w:val="19"/>
          <w:szCs w:val="19"/>
          <w:b w:val="1"/>
          <w:bCs w:val="1"/>
          <w:color w:val="auto"/>
        </w:rPr>
        <w:t>PROKIDNEY CORP.</w:t>
      </w:r>
    </w:p>
    <w:p>
      <w:pPr>
        <w:spacing w:after="0" w:line="146" w:lineRule="exact"/>
        <w:rPr>
          <w:sz w:val="20"/>
          <w:szCs w:val="20"/>
          <w:color w:val="auto"/>
        </w:rPr>
      </w:pPr>
    </w:p>
    <w:p>
      <w:pPr>
        <w:jc w:val="center"/>
        <w:ind w:right="198"/>
        <w:spacing w:after="0"/>
        <w:rPr>
          <w:sz w:val="20"/>
          <w:szCs w:val="20"/>
          <w:color w:val="auto"/>
        </w:rPr>
      </w:pPr>
      <w:r>
        <w:rPr>
          <w:rFonts w:ascii="Arial" w:cs="Arial" w:eastAsia="Arial" w:hAnsi="Arial"/>
          <w:sz w:val="19"/>
          <w:szCs w:val="19"/>
          <w:b w:val="1"/>
          <w:bCs w:val="1"/>
          <w:color w:val="auto"/>
        </w:rPr>
        <w:t>INSIDER TRADING POLICY</w:t>
      </w:r>
    </w:p>
    <w:p>
      <w:pPr>
        <w:spacing w:after="0" w:line="200" w:lineRule="exact"/>
        <w:rPr>
          <w:sz w:val="20"/>
          <w:szCs w:val="20"/>
          <w:color w:val="auto"/>
        </w:rPr>
      </w:pPr>
    </w:p>
    <w:p>
      <w:pPr>
        <w:spacing w:after="0" w:line="203" w:lineRule="exact"/>
        <w:rPr>
          <w:sz w:val="20"/>
          <w:szCs w:val="20"/>
          <w:color w:val="auto"/>
        </w:rPr>
      </w:pPr>
    </w:p>
    <w:p>
      <w:pPr>
        <w:ind w:left="742" w:hanging="742"/>
        <w:spacing w:after="0"/>
        <w:tabs>
          <w:tab w:leader="none" w:pos="742" w:val="left"/>
        </w:tabs>
        <w:numPr>
          <w:ilvl w:val="0"/>
          <w:numId w:val="193"/>
        </w:numPr>
        <w:rPr>
          <w:rFonts w:ascii="Arial" w:cs="Arial" w:eastAsia="Arial" w:hAnsi="Arial"/>
          <w:sz w:val="22"/>
          <w:szCs w:val="22"/>
          <w:b w:val="1"/>
          <w:bCs w:val="1"/>
          <w:color w:val="auto"/>
        </w:rPr>
      </w:pPr>
      <w:r>
        <w:rPr>
          <w:rFonts w:ascii="Arial" w:cs="Arial" w:eastAsia="Arial" w:hAnsi="Arial"/>
          <w:sz w:val="19"/>
          <w:szCs w:val="19"/>
          <w:b w:val="1"/>
          <w:bCs w:val="1"/>
          <w:color w:val="auto"/>
        </w:rPr>
        <w:t>PURPOSE</w:t>
      </w:r>
    </w:p>
    <w:p>
      <w:pPr>
        <w:spacing w:after="0" w:line="193" w:lineRule="exact"/>
        <w:rPr>
          <w:sz w:val="20"/>
          <w:szCs w:val="20"/>
          <w:color w:val="auto"/>
        </w:rPr>
      </w:pPr>
    </w:p>
    <w:p>
      <w:pPr>
        <w:jc w:val="both"/>
        <w:ind w:left="742" w:right="1100"/>
        <w:spacing w:after="0" w:line="254" w:lineRule="auto"/>
        <w:rPr>
          <w:sz w:val="20"/>
          <w:szCs w:val="20"/>
          <w:color w:val="auto"/>
        </w:rPr>
      </w:pPr>
      <w:r>
        <w:rPr>
          <w:rFonts w:ascii="Arial" w:cs="Arial" w:eastAsia="Arial" w:hAnsi="Arial"/>
          <w:sz w:val="19"/>
          <w:szCs w:val="19"/>
          <w:color w:val="auto"/>
        </w:rPr>
        <w:t>ProKidney Corp. (the “Company”) has adopted this Insider Trading Policy (this “Policy”) to help its directors, officers and employees comply with insider trading laws, to prevent even the appearance of improper insider trading and comply with disclosure requirements.</w:t>
      </w:r>
    </w:p>
    <w:p>
      <w:pPr>
        <w:spacing w:after="0" w:line="184" w:lineRule="exact"/>
        <w:rPr>
          <w:sz w:val="20"/>
          <w:szCs w:val="20"/>
          <w:color w:val="auto"/>
        </w:rPr>
      </w:pPr>
    </w:p>
    <w:p>
      <w:pPr>
        <w:ind w:left="742" w:hanging="742"/>
        <w:spacing w:after="0"/>
        <w:tabs>
          <w:tab w:leader="none" w:pos="742" w:val="left"/>
        </w:tabs>
        <w:numPr>
          <w:ilvl w:val="0"/>
          <w:numId w:val="194"/>
        </w:numPr>
        <w:rPr>
          <w:rFonts w:ascii="Arial" w:cs="Arial" w:eastAsia="Arial" w:hAnsi="Arial"/>
          <w:sz w:val="22"/>
          <w:szCs w:val="22"/>
          <w:b w:val="1"/>
          <w:bCs w:val="1"/>
          <w:color w:val="auto"/>
        </w:rPr>
      </w:pPr>
      <w:r>
        <w:rPr>
          <w:rFonts w:ascii="Arial" w:cs="Arial" w:eastAsia="Arial" w:hAnsi="Arial"/>
          <w:sz w:val="19"/>
          <w:szCs w:val="19"/>
          <w:b w:val="1"/>
          <w:bCs w:val="1"/>
          <w:color w:val="auto"/>
        </w:rPr>
        <w:t>SCOPE</w:t>
      </w:r>
    </w:p>
    <w:p>
      <w:pPr>
        <w:spacing w:after="0" w:line="192" w:lineRule="exact"/>
        <w:rPr>
          <w:rFonts w:ascii="Arial" w:cs="Arial" w:eastAsia="Arial" w:hAnsi="Arial"/>
          <w:sz w:val="22"/>
          <w:szCs w:val="22"/>
          <w:b w:val="1"/>
          <w:bCs w:val="1"/>
          <w:color w:val="auto"/>
        </w:rPr>
      </w:pPr>
    </w:p>
    <w:p>
      <w:pPr>
        <w:jc w:val="both"/>
        <w:ind w:left="1422" w:right="1100" w:hanging="673"/>
        <w:spacing w:after="0" w:line="243" w:lineRule="auto"/>
        <w:tabs>
          <w:tab w:leader="none" w:pos="1422" w:val="left"/>
        </w:tabs>
        <w:numPr>
          <w:ilvl w:val="1"/>
          <w:numId w:val="194"/>
        </w:numPr>
        <w:rPr>
          <w:rFonts w:ascii="Arial" w:cs="Arial" w:eastAsia="Arial" w:hAnsi="Arial"/>
          <w:sz w:val="19"/>
          <w:szCs w:val="19"/>
          <w:b w:val="1"/>
          <w:bCs w:val="1"/>
          <w:color w:val="auto"/>
        </w:rPr>
      </w:pPr>
      <w:r>
        <w:rPr>
          <w:rFonts w:ascii="Arial" w:cs="Arial" w:eastAsia="Arial" w:hAnsi="Arial"/>
          <w:sz w:val="19"/>
          <w:szCs w:val="19"/>
          <w:color w:val="auto"/>
        </w:rPr>
        <w:t>This Policy applies to all directors, officers and employees of the Company as well as their respective family members, others in their households and any entity that any such persons control or for which any such persons are a direct or indirect beneficiary such as personal trust that holds Company securities (collectively referred to as “Insiders”), and any other individuals the Compliance Officer (defined below) may designate as Insiders because they have access to material nonpublic information concerning the Company.</w:t>
      </w:r>
    </w:p>
    <w:p>
      <w:pPr>
        <w:spacing w:after="0" w:line="184" w:lineRule="exact"/>
        <w:rPr>
          <w:rFonts w:ascii="Arial" w:cs="Arial" w:eastAsia="Arial" w:hAnsi="Arial"/>
          <w:sz w:val="19"/>
          <w:szCs w:val="19"/>
          <w:b w:val="1"/>
          <w:bCs w:val="1"/>
          <w:color w:val="auto"/>
        </w:rPr>
      </w:pPr>
    </w:p>
    <w:p>
      <w:pPr>
        <w:jc w:val="both"/>
        <w:ind w:left="1422" w:right="1100" w:hanging="673"/>
        <w:spacing w:after="0" w:line="243" w:lineRule="auto"/>
        <w:tabs>
          <w:tab w:leader="none" w:pos="1422" w:val="left"/>
        </w:tabs>
        <w:numPr>
          <w:ilvl w:val="1"/>
          <w:numId w:val="194"/>
        </w:numPr>
        <w:rPr>
          <w:rFonts w:ascii="Arial" w:cs="Arial" w:eastAsia="Arial" w:hAnsi="Arial"/>
          <w:sz w:val="19"/>
          <w:szCs w:val="19"/>
          <w:b w:val="1"/>
          <w:bCs w:val="1"/>
          <w:color w:val="auto"/>
        </w:rPr>
      </w:pPr>
      <w:r>
        <w:rPr>
          <w:rFonts w:ascii="Arial" w:cs="Arial" w:eastAsia="Arial" w:hAnsi="Arial"/>
          <w:sz w:val="19"/>
          <w:szCs w:val="19"/>
          <w:color w:val="auto"/>
        </w:rPr>
        <w:t>Except as set forth explicitly below, this Policy applies to any and all transactions in the Company’s securities, including transactions in common stock, options, preferred stock, restricted stock, restricted stock units, any other type of securities that the Company may issue and any derivative securities relating to Company securities. This Policy applies to such securities regardless of whether they are held in a brokerage account, a 401(k) or similar account, through an employee stock purchase plan or otherwise.</w:t>
      </w:r>
    </w:p>
    <w:p>
      <w:pPr>
        <w:spacing w:after="0" w:line="198" w:lineRule="exact"/>
        <w:rPr>
          <w:sz w:val="20"/>
          <w:szCs w:val="20"/>
          <w:color w:val="auto"/>
        </w:rPr>
      </w:pPr>
    </w:p>
    <w:p>
      <w:pPr>
        <w:ind w:left="742" w:hanging="742"/>
        <w:spacing w:after="0"/>
        <w:tabs>
          <w:tab w:leader="none" w:pos="742" w:val="left"/>
        </w:tabs>
        <w:numPr>
          <w:ilvl w:val="0"/>
          <w:numId w:val="195"/>
        </w:numPr>
        <w:rPr>
          <w:rFonts w:ascii="Arial" w:cs="Arial" w:eastAsia="Arial" w:hAnsi="Arial"/>
          <w:sz w:val="22"/>
          <w:szCs w:val="22"/>
          <w:b w:val="1"/>
          <w:bCs w:val="1"/>
          <w:color w:val="auto"/>
        </w:rPr>
      </w:pPr>
      <w:r>
        <w:rPr>
          <w:rFonts w:ascii="Arial" w:cs="Arial" w:eastAsia="Arial" w:hAnsi="Arial"/>
          <w:sz w:val="19"/>
          <w:szCs w:val="19"/>
          <w:b w:val="1"/>
          <w:bCs w:val="1"/>
          <w:color w:val="auto"/>
        </w:rPr>
        <w:t>SPECIFIC GUIDANCE</w:t>
      </w:r>
    </w:p>
    <w:p>
      <w:pPr>
        <w:spacing w:after="0" w:line="192" w:lineRule="exact"/>
        <w:rPr>
          <w:rFonts w:ascii="Arial" w:cs="Arial" w:eastAsia="Arial" w:hAnsi="Arial"/>
          <w:sz w:val="22"/>
          <w:szCs w:val="22"/>
          <w:b w:val="1"/>
          <w:bCs w:val="1"/>
          <w:color w:val="auto"/>
        </w:rPr>
      </w:pPr>
    </w:p>
    <w:p>
      <w:pPr>
        <w:ind w:left="1422" w:right="1100" w:hanging="673"/>
        <w:spacing w:after="0" w:line="270" w:lineRule="auto"/>
        <w:tabs>
          <w:tab w:leader="none" w:pos="1422" w:val="left"/>
        </w:tabs>
        <w:numPr>
          <w:ilvl w:val="1"/>
          <w:numId w:val="19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Generally Prohibited Activities. </w:t>
      </w:r>
      <w:r>
        <w:rPr>
          <w:rFonts w:ascii="Arial" w:cs="Arial" w:eastAsia="Arial" w:hAnsi="Arial"/>
          <w:sz w:val="19"/>
          <w:szCs w:val="19"/>
          <w:color w:val="auto"/>
        </w:rPr>
        <w:t>The prohibitions below apply to actions an Insider may take directly</w:t>
      </w:r>
      <w:r>
        <w:rPr>
          <w:rFonts w:ascii="Arial" w:cs="Arial" w:eastAsia="Arial" w:hAnsi="Arial"/>
          <w:sz w:val="19"/>
          <w:szCs w:val="19"/>
          <w:b w:val="1"/>
          <w:bCs w:val="1"/>
          <w:color w:val="auto"/>
        </w:rPr>
        <w:t xml:space="preserve"> </w:t>
      </w:r>
      <w:r>
        <w:rPr>
          <w:rFonts w:ascii="Arial" w:cs="Arial" w:eastAsia="Arial" w:hAnsi="Arial"/>
          <w:sz w:val="19"/>
          <w:szCs w:val="19"/>
          <w:color w:val="auto"/>
        </w:rPr>
        <w:t>or indirectly through family members or other persons or entities.</w:t>
      </w:r>
    </w:p>
    <w:p>
      <w:pPr>
        <w:spacing w:after="0" w:line="156" w:lineRule="exact"/>
        <w:rPr>
          <w:rFonts w:ascii="Arial" w:cs="Arial" w:eastAsia="Arial" w:hAnsi="Arial"/>
          <w:sz w:val="19"/>
          <w:szCs w:val="19"/>
          <w:b w:val="1"/>
          <w:bCs w:val="1"/>
          <w:color w:val="auto"/>
        </w:rPr>
      </w:pPr>
    </w:p>
    <w:p>
      <w:pPr>
        <w:ind w:left="2242" w:hanging="744"/>
        <w:spacing w:after="0"/>
        <w:tabs>
          <w:tab w:leader="none" w:pos="2242" w:val="left"/>
        </w:tabs>
        <w:numPr>
          <w:ilvl w:val="2"/>
          <w:numId w:val="195"/>
        </w:numPr>
        <w:rPr>
          <w:rFonts w:ascii="Arial" w:cs="Arial" w:eastAsia="Arial" w:hAnsi="Arial"/>
          <w:sz w:val="19"/>
          <w:szCs w:val="19"/>
          <w:color w:val="auto"/>
        </w:rPr>
      </w:pPr>
      <w:r>
        <w:rPr>
          <w:rFonts w:ascii="Arial" w:cs="Arial" w:eastAsia="Arial" w:hAnsi="Arial"/>
          <w:sz w:val="19"/>
          <w:szCs w:val="19"/>
          <w:u w:val="single" w:color="auto"/>
          <w:color w:val="auto"/>
        </w:rPr>
        <w:t>Restrictions on Trading in Company Securities</w:t>
      </w:r>
      <w:r>
        <w:rPr>
          <w:rFonts w:ascii="Arial" w:cs="Arial" w:eastAsia="Arial" w:hAnsi="Arial"/>
          <w:sz w:val="19"/>
          <w:szCs w:val="19"/>
          <w:color w:val="auto"/>
        </w:rPr>
        <w:t>.</w:t>
      </w:r>
    </w:p>
    <w:p>
      <w:pPr>
        <w:spacing w:after="0" w:line="227" w:lineRule="exact"/>
        <w:rPr>
          <w:rFonts w:ascii="Arial" w:cs="Arial" w:eastAsia="Arial" w:hAnsi="Arial"/>
          <w:sz w:val="19"/>
          <w:szCs w:val="19"/>
          <w:color w:val="auto"/>
        </w:rPr>
      </w:pPr>
    </w:p>
    <w:p>
      <w:pPr>
        <w:ind w:left="2902" w:right="1100" w:hanging="656"/>
        <w:spacing w:after="0" w:line="236" w:lineRule="auto"/>
        <w:tabs>
          <w:tab w:leader="none" w:pos="2902" w:val="left"/>
        </w:tabs>
        <w:numPr>
          <w:ilvl w:val="3"/>
          <w:numId w:val="195"/>
        </w:numPr>
        <w:rPr>
          <w:rFonts w:ascii="Arial" w:cs="Arial" w:eastAsia="Arial" w:hAnsi="Arial"/>
          <w:sz w:val="22"/>
          <w:szCs w:val="22"/>
          <w:color w:val="auto"/>
        </w:rPr>
      </w:pPr>
      <w:r>
        <w:rPr>
          <w:rFonts w:ascii="Arial" w:cs="Arial" w:eastAsia="Arial" w:hAnsi="Arial"/>
          <w:sz w:val="19"/>
          <w:szCs w:val="19"/>
          <w:color w:val="auto"/>
        </w:rPr>
        <w:t>No Insider may buy, sell, donate or otherwise transact in Company securities while aware of material nonpublic information concerning the Company.</w:t>
      </w:r>
    </w:p>
    <w:p>
      <w:pPr>
        <w:spacing w:after="0" w:line="62" w:lineRule="exact"/>
        <w:rPr>
          <w:rFonts w:ascii="Arial" w:cs="Arial" w:eastAsia="Arial" w:hAnsi="Arial"/>
          <w:sz w:val="22"/>
          <w:szCs w:val="22"/>
          <w:color w:val="auto"/>
        </w:rPr>
      </w:pPr>
    </w:p>
    <w:p>
      <w:pPr>
        <w:ind w:left="2902" w:right="1100" w:hanging="656"/>
        <w:spacing w:after="0" w:line="236" w:lineRule="auto"/>
        <w:tabs>
          <w:tab w:leader="none" w:pos="2902" w:val="left"/>
        </w:tabs>
        <w:numPr>
          <w:ilvl w:val="3"/>
          <w:numId w:val="195"/>
        </w:numPr>
        <w:rPr>
          <w:rFonts w:ascii="Arial" w:cs="Arial" w:eastAsia="Arial" w:hAnsi="Arial"/>
          <w:sz w:val="22"/>
          <w:szCs w:val="22"/>
          <w:color w:val="auto"/>
        </w:rPr>
      </w:pPr>
      <w:r>
        <w:rPr>
          <w:rFonts w:ascii="Arial" w:cs="Arial" w:eastAsia="Arial" w:hAnsi="Arial"/>
          <w:sz w:val="19"/>
          <w:szCs w:val="19"/>
          <w:color w:val="auto"/>
        </w:rPr>
        <w:t>No Insider may buy, sell, donate or otherwise transact in Company securities except during an open window period as designated by the Compliance Officer.</w:t>
      </w:r>
    </w:p>
    <w:p>
      <w:pPr>
        <w:spacing w:after="0" w:line="184" w:lineRule="exact"/>
        <w:rPr>
          <w:rFonts w:ascii="Arial" w:cs="Arial" w:eastAsia="Arial" w:hAnsi="Arial"/>
          <w:sz w:val="22"/>
          <w:szCs w:val="22"/>
          <w:color w:val="auto"/>
        </w:rPr>
      </w:pPr>
    </w:p>
    <w:p>
      <w:pPr>
        <w:jc w:val="both"/>
        <w:ind w:left="2162" w:right="1100" w:hanging="664"/>
        <w:spacing w:after="0" w:line="243" w:lineRule="auto"/>
        <w:tabs>
          <w:tab w:leader="none" w:pos="2162" w:val="left"/>
        </w:tabs>
        <w:numPr>
          <w:ilvl w:val="2"/>
          <w:numId w:val="195"/>
        </w:numPr>
        <w:rPr>
          <w:rFonts w:ascii="Arial" w:cs="Arial" w:eastAsia="Arial" w:hAnsi="Arial"/>
          <w:sz w:val="19"/>
          <w:szCs w:val="19"/>
          <w:color w:val="auto"/>
        </w:rPr>
      </w:pPr>
      <w:r>
        <w:rPr>
          <w:rFonts w:ascii="Arial" w:cs="Arial" w:eastAsia="Arial" w:hAnsi="Arial"/>
          <w:sz w:val="19"/>
          <w:szCs w:val="19"/>
          <w:u w:val="single" w:color="auto"/>
          <w:color w:val="auto"/>
        </w:rPr>
        <w:t>No Tipping</w:t>
      </w:r>
      <w:r>
        <w:rPr>
          <w:rFonts w:ascii="Arial" w:cs="Arial" w:eastAsia="Arial" w:hAnsi="Arial"/>
          <w:sz w:val="19"/>
          <w:szCs w:val="19"/>
          <w:color w:val="auto"/>
        </w:rPr>
        <w:t>. Providing material nonpublic information to another person who may trade or advise others to trade on the basis of that information is known as “tipping” and is illegal. Therefore, no Insider may “tip” or provide material nonpublic information concerning the Company to any person other than a director, officer or employee of the Company, unless required as part of that Insider’s regular duties for the Company and authorized by the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1090295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2"/>
          </w:cols>
          <w:pgMar w:left="538" w:top="548" w:right="339" w:bottom="1440" w:gutter="0" w:footer="0" w:header="0"/>
        </w:sectPr>
      </w:pPr>
    </w:p>
    <w:bookmarkStart w:id="272" w:name="page273"/>
    <w:bookmarkEnd w:id="272"/>
    <w:p>
      <w:pPr>
        <w:spacing w:after="0" w:line="118" w:lineRule="exact"/>
        <w:rPr>
          <w:sz w:val="20"/>
          <w:szCs w:val="20"/>
          <w:color w:val="auto"/>
        </w:rPr>
      </w:pPr>
    </w:p>
    <w:p>
      <w:pPr>
        <w:jc w:val="both"/>
        <w:ind w:left="2360" w:right="160" w:hanging="664"/>
        <w:spacing w:after="0" w:line="248" w:lineRule="auto"/>
        <w:tabs>
          <w:tab w:leader="none" w:pos="2360" w:val="left"/>
        </w:tabs>
        <w:numPr>
          <w:ilvl w:val="1"/>
          <w:numId w:val="196"/>
        </w:numPr>
        <w:rPr>
          <w:rFonts w:ascii="Arial" w:cs="Arial" w:eastAsia="Arial" w:hAnsi="Arial"/>
          <w:sz w:val="19"/>
          <w:szCs w:val="19"/>
          <w:color w:val="auto"/>
        </w:rPr>
      </w:pPr>
      <w:r>
        <w:rPr>
          <w:rFonts w:ascii="Arial" w:cs="Arial" w:eastAsia="Arial" w:hAnsi="Arial"/>
          <w:sz w:val="19"/>
          <w:szCs w:val="19"/>
          <w:u w:val="single" w:color="auto"/>
          <w:color w:val="auto"/>
        </w:rPr>
        <w:t>No Giving Trading Advice</w:t>
      </w:r>
      <w:r>
        <w:rPr>
          <w:rFonts w:ascii="Arial" w:cs="Arial" w:eastAsia="Arial" w:hAnsi="Arial"/>
          <w:sz w:val="19"/>
          <w:szCs w:val="19"/>
          <w:color w:val="auto"/>
        </w:rPr>
        <w:t>. No Insider may give trading advice of any kind about the Company to anyone, whether or not such Insider is aware of material nonpublic information about the Company, except that Insiders should advise other Insiders not to trade if such trading might violate the law or this Policy.</w:t>
      </w:r>
    </w:p>
    <w:p>
      <w:pPr>
        <w:spacing w:after="0" w:line="176" w:lineRule="exact"/>
        <w:rPr>
          <w:rFonts w:ascii="Arial" w:cs="Arial" w:eastAsia="Arial" w:hAnsi="Arial"/>
          <w:sz w:val="19"/>
          <w:szCs w:val="19"/>
          <w:color w:val="auto"/>
        </w:rPr>
      </w:pPr>
    </w:p>
    <w:p>
      <w:pPr>
        <w:ind w:left="2360" w:right="160" w:hanging="664"/>
        <w:spacing w:after="0" w:line="270" w:lineRule="auto"/>
        <w:tabs>
          <w:tab w:leader="none" w:pos="2360" w:val="left"/>
        </w:tabs>
        <w:numPr>
          <w:ilvl w:val="1"/>
          <w:numId w:val="196"/>
        </w:numPr>
        <w:rPr>
          <w:rFonts w:ascii="Arial" w:cs="Arial" w:eastAsia="Arial" w:hAnsi="Arial"/>
          <w:sz w:val="19"/>
          <w:szCs w:val="19"/>
          <w:color w:val="auto"/>
        </w:rPr>
      </w:pPr>
      <w:r>
        <w:rPr>
          <w:rFonts w:ascii="Arial" w:cs="Arial" w:eastAsia="Arial" w:hAnsi="Arial"/>
          <w:sz w:val="19"/>
          <w:szCs w:val="19"/>
          <w:u w:val="single" w:color="auto"/>
          <w:color w:val="auto"/>
        </w:rPr>
        <w:t>No Engaging in Short Sales</w:t>
      </w:r>
      <w:r>
        <w:rPr>
          <w:rFonts w:ascii="Arial" w:cs="Arial" w:eastAsia="Arial" w:hAnsi="Arial"/>
          <w:sz w:val="19"/>
          <w:szCs w:val="19"/>
          <w:color w:val="auto"/>
        </w:rPr>
        <w:t>. No Insider may engage in short sales of Company securities. A short sale is the sale of a security that the seller does not own at the time of the trade.</w:t>
      </w:r>
    </w:p>
    <w:p>
      <w:pPr>
        <w:spacing w:after="0" w:line="156" w:lineRule="exact"/>
        <w:rPr>
          <w:rFonts w:ascii="Arial" w:cs="Arial" w:eastAsia="Arial" w:hAnsi="Arial"/>
          <w:sz w:val="19"/>
          <w:szCs w:val="19"/>
          <w:color w:val="auto"/>
        </w:rPr>
      </w:pPr>
    </w:p>
    <w:p>
      <w:pPr>
        <w:jc w:val="both"/>
        <w:ind w:left="2360" w:right="160" w:hanging="664"/>
        <w:spacing w:after="0" w:line="248" w:lineRule="auto"/>
        <w:tabs>
          <w:tab w:leader="none" w:pos="2360" w:val="left"/>
        </w:tabs>
        <w:numPr>
          <w:ilvl w:val="1"/>
          <w:numId w:val="196"/>
        </w:numPr>
        <w:rPr>
          <w:rFonts w:ascii="Arial" w:cs="Arial" w:eastAsia="Arial" w:hAnsi="Arial"/>
          <w:sz w:val="19"/>
          <w:szCs w:val="19"/>
          <w:color w:val="auto"/>
        </w:rPr>
      </w:pPr>
      <w:r>
        <w:rPr>
          <w:rFonts w:ascii="Arial" w:cs="Arial" w:eastAsia="Arial" w:hAnsi="Arial"/>
          <w:sz w:val="19"/>
          <w:szCs w:val="19"/>
          <w:u w:val="single" w:color="auto"/>
          <w:color w:val="auto"/>
        </w:rPr>
        <w:t>No Engaging in Derivative Transactions</w:t>
      </w:r>
      <w:r>
        <w:rPr>
          <w:rFonts w:ascii="Arial" w:cs="Arial" w:eastAsia="Arial" w:hAnsi="Arial"/>
          <w:sz w:val="19"/>
          <w:szCs w:val="19"/>
          <w:color w:val="auto"/>
        </w:rPr>
        <w:t>. No Insider may engage in transactions in puts, calls or other derivative instruments that relate to or involve Company securities. Such transactions are, in effect, bets on short-term movements in the Company’s stock price and therefore create the appearance that the transaction is based on nonpublic information.</w:t>
      </w:r>
    </w:p>
    <w:p>
      <w:pPr>
        <w:spacing w:after="0" w:line="176" w:lineRule="exact"/>
        <w:rPr>
          <w:rFonts w:ascii="Arial" w:cs="Arial" w:eastAsia="Arial" w:hAnsi="Arial"/>
          <w:sz w:val="19"/>
          <w:szCs w:val="19"/>
          <w:color w:val="auto"/>
        </w:rPr>
      </w:pPr>
    </w:p>
    <w:p>
      <w:pPr>
        <w:jc w:val="both"/>
        <w:ind w:left="2380" w:hanging="684"/>
        <w:spacing w:after="0" w:line="248" w:lineRule="auto"/>
        <w:tabs>
          <w:tab w:leader="none" w:pos="2380" w:val="left"/>
        </w:tabs>
        <w:numPr>
          <w:ilvl w:val="1"/>
          <w:numId w:val="196"/>
        </w:numPr>
        <w:rPr>
          <w:rFonts w:ascii="Arial" w:cs="Arial" w:eastAsia="Arial" w:hAnsi="Arial"/>
          <w:sz w:val="19"/>
          <w:szCs w:val="19"/>
          <w:color w:val="auto"/>
        </w:rPr>
      </w:pPr>
      <w:r>
        <w:rPr>
          <w:rFonts w:ascii="Arial" w:cs="Arial" w:eastAsia="Arial" w:hAnsi="Arial"/>
          <w:sz w:val="19"/>
          <w:szCs w:val="19"/>
          <w:u w:val="single" w:color="auto"/>
          <w:color w:val="auto"/>
        </w:rPr>
        <w:t>No Hedging</w:t>
      </w:r>
      <w:r>
        <w:rPr>
          <w:rFonts w:ascii="Arial" w:cs="Arial" w:eastAsia="Arial" w:hAnsi="Arial"/>
          <w:sz w:val="19"/>
          <w:szCs w:val="19"/>
          <w:color w:val="auto"/>
        </w:rPr>
        <w:t>. No Insider may engage in hedging transactions involving Company securities, including forward sale or purchase contracts, equity swaps, collars or exchange funds. Such transactions are speculative in nature and therefore create the appearance that the transaction is based on nonpublic information.</w:t>
      </w:r>
    </w:p>
    <w:p>
      <w:pPr>
        <w:spacing w:after="0" w:line="176" w:lineRule="exact"/>
        <w:rPr>
          <w:rFonts w:ascii="Arial" w:cs="Arial" w:eastAsia="Arial" w:hAnsi="Arial"/>
          <w:sz w:val="19"/>
          <w:szCs w:val="19"/>
          <w:color w:val="auto"/>
        </w:rPr>
      </w:pPr>
    </w:p>
    <w:p>
      <w:pPr>
        <w:jc w:val="both"/>
        <w:ind w:left="2360" w:right="160" w:hanging="664"/>
        <w:spacing w:after="0" w:line="248" w:lineRule="auto"/>
        <w:tabs>
          <w:tab w:leader="none" w:pos="2360" w:val="left"/>
        </w:tabs>
        <w:numPr>
          <w:ilvl w:val="1"/>
          <w:numId w:val="196"/>
        </w:numPr>
        <w:rPr>
          <w:rFonts w:ascii="Arial" w:cs="Arial" w:eastAsia="Arial" w:hAnsi="Arial"/>
          <w:sz w:val="19"/>
          <w:szCs w:val="19"/>
          <w:color w:val="auto"/>
        </w:rPr>
      </w:pPr>
      <w:r>
        <w:rPr>
          <w:rFonts w:ascii="Arial" w:cs="Arial" w:eastAsia="Arial" w:hAnsi="Arial"/>
          <w:sz w:val="19"/>
          <w:szCs w:val="19"/>
          <w:u w:val="single" w:color="auto"/>
          <w:color w:val="auto"/>
        </w:rPr>
        <w:t>No Trading on Margin or Pledging</w:t>
      </w:r>
      <w:r>
        <w:rPr>
          <w:rFonts w:ascii="Arial" w:cs="Arial" w:eastAsia="Arial" w:hAnsi="Arial"/>
          <w:sz w:val="19"/>
          <w:szCs w:val="19"/>
          <w:color w:val="auto"/>
        </w:rPr>
        <w:t>. No Insider may hold Company securities in a margin account or pledge Company securities as collateral for a loan. Margin sales or foreclosure sales may occur at a time when the Insider is aware of material nonpublic information or otherwise is not permitted to trade in Company securities.</w:t>
      </w:r>
    </w:p>
    <w:p>
      <w:pPr>
        <w:spacing w:after="0" w:line="176" w:lineRule="exact"/>
        <w:rPr>
          <w:rFonts w:ascii="Arial" w:cs="Arial" w:eastAsia="Arial" w:hAnsi="Arial"/>
          <w:sz w:val="19"/>
          <w:szCs w:val="19"/>
          <w:color w:val="auto"/>
        </w:rPr>
      </w:pPr>
    </w:p>
    <w:p>
      <w:pPr>
        <w:jc w:val="both"/>
        <w:ind w:left="2360" w:right="160" w:hanging="664"/>
        <w:spacing w:after="0" w:line="243" w:lineRule="auto"/>
        <w:tabs>
          <w:tab w:leader="none" w:pos="2360" w:val="left"/>
        </w:tabs>
        <w:numPr>
          <w:ilvl w:val="1"/>
          <w:numId w:val="196"/>
        </w:numPr>
        <w:rPr>
          <w:rFonts w:ascii="Arial" w:cs="Arial" w:eastAsia="Arial" w:hAnsi="Arial"/>
          <w:sz w:val="19"/>
          <w:szCs w:val="19"/>
          <w:color w:val="auto"/>
        </w:rPr>
      </w:pPr>
      <w:r>
        <w:rPr>
          <w:rFonts w:ascii="Arial" w:cs="Arial" w:eastAsia="Arial" w:hAnsi="Arial"/>
          <w:sz w:val="19"/>
          <w:szCs w:val="19"/>
          <w:u w:val="single" w:color="auto"/>
          <w:color w:val="auto"/>
        </w:rPr>
        <w:t>No Trading in Securities of Other Companies</w:t>
      </w:r>
      <w:r>
        <w:rPr>
          <w:rFonts w:ascii="Arial" w:cs="Arial" w:eastAsia="Arial" w:hAnsi="Arial"/>
          <w:sz w:val="19"/>
          <w:szCs w:val="19"/>
          <w:color w:val="auto"/>
        </w:rPr>
        <w:t>. No Insider may, while in possession of material nonpublic information about any other public company gained in the course of employment with the Company, buy, sell, donate or otherwise transact in the securities of the other public company; “tip” or disclose such material nonpublic information concerning that company to anyone; or give trading advice of any kind to anyone concerning the other public company.</w:t>
      </w:r>
    </w:p>
    <w:p>
      <w:pPr>
        <w:spacing w:after="0" w:line="184" w:lineRule="exact"/>
        <w:rPr>
          <w:rFonts w:ascii="Arial" w:cs="Arial" w:eastAsia="Arial" w:hAnsi="Arial"/>
          <w:sz w:val="19"/>
          <w:szCs w:val="19"/>
          <w:color w:val="auto"/>
        </w:rPr>
      </w:pPr>
    </w:p>
    <w:p>
      <w:pPr>
        <w:ind w:left="1700" w:hanging="753"/>
        <w:spacing w:after="0"/>
        <w:tabs>
          <w:tab w:leader="none" w:pos="1700" w:val="left"/>
        </w:tabs>
        <w:numPr>
          <w:ilvl w:val="0"/>
          <w:numId w:val="197"/>
        </w:numPr>
        <w:rPr>
          <w:rFonts w:ascii="Arial" w:cs="Arial" w:eastAsia="Arial" w:hAnsi="Arial"/>
          <w:sz w:val="19"/>
          <w:szCs w:val="19"/>
          <w:b w:val="1"/>
          <w:bCs w:val="1"/>
          <w:color w:val="auto"/>
        </w:rPr>
      </w:pPr>
      <w:r>
        <w:rPr>
          <w:rFonts w:ascii="Arial" w:cs="Arial" w:eastAsia="Arial" w:hAnsi="Arial"/>
          <w:sz w:val="19"/>
          <w:szCs w:val="19"/>
          <w:b w:val="1"/>
          <w:bCs w:val="1"/>
          <w:color w:val="auto"/>
        </w:rPr>
        <w:t>Exceptions.</w:t>
      </w:r>
    </w:p>
    <w:p>
      <w:pPr>
        <w:spacing w:after="0" w:line="213" w:lineRule="exact"/>
        <w:rPr>
          <w:rFonts w:ascii="Arial" w:cs="Arial" w:eastAsia="Arial" w:hAnsi="Arial"/>
          <w:sz w:val="19"/>
          <w:szCs w:val="19"/>
          <w:b w:val="1"/>
          <w:bCs w:val="1"/>
          <w:color w:val="auto"/>
        </w:rPr>
      </w:pPr>
    </w:p>
    <w:p>
      <w:pPr>
        <w:ind w:left="1700"/>
        <w:spacing w:after="0"/>
        <w:rPr>
          <w:rFonts w:ascii="Arial" w:cs="Arial" w:eastAsia="Arial" w:hAnsi="Arial"/>
          <w:sz w:val="19"/>
          <w:szCs w:val="19"/>
          <w:b w:val="1"/>
          <w:bCs w:val="1"/>
          <w:color w:val="auto"/>
        </w:rPr>
      </w:pPr>
      <w:r>
        <w:rPr>
          <w:rFonts w:ascii="Arial" w:cs="Arial" w:eastAsia="Arial" w:hAnsi="Arial"/>
          <w:sz w:val="19"/>
          <w:szCs w:val="19"/>
          <w:color w:val="auto"/>
        </w:rPr>
        <w:t>The prohibited activities above do not apply to:</w:t>
      </w:r>
    </w:p>
    <w:p>
      <w:pPr>
        <w:spacing w:after="0" w:line="213" w:lineRule="exact"/>
        <w:rPr>
          <w:rFonts w:ascii="Arial" w:cs="Arial" w:eastAsia="Arial" w:hAnsi="Arial"/>
          <w:sz w:val="19"/>
          <w:szCs w:val="19"/>
          <w:b w:val="1"/>
          <w:bCs w:val="1"/>
          <w:color w:val="auto"/>
        </w:rPr>
      </w:pPr>
    </w:p>
    <w:p>
      <w:pPr>
        <w:jc w:val="both"/>
        <w:ind w:left="2360" w:right="160" w:hanging="664"/>
        <w:spacing w:after="0" w:line="245" w:lineRule="auto"/>
        <w:tabs>
          <w:tab w:leader="none" w:pos="2360" w:val="left"/>
        </w:tabs>
        <w:numPr>
          <w:ilvl w:val="1"/>
          <w:numId w:val="197"/>
        </w:numPr>
        <w:rPr>
          <w:rFonts w:ascii="Arial" w:cs="Arial" w:eastAsia="Arial" w:hAnsi="Arial"/>
          <w:sz w:val="19"/>
          <w:szCs w:val="19"/>
          <w:color w:val="auto"/>
        </w:rPr>
      </w:pPr>
      <w:r>
        <w:rPr>
          <w:rFonts w:ascii="Arial" w:cs="Arial" w:eastAsia="Arial" w:hAnsi="Arial"/>
          <w:sz w:val="19"/>
          <w:szCs w:val="19"/>
          <w:color w:val="auto"/>
        </w:rPr>
        <w:t>Exercises of stock options or similar equity awards or the surrender of shares to the Company in payment of the stock option exercise price or in satisfaction of any tax withholding obligations, provided that any securities acquired pursuant to such exercise may not be sold, including as part of a broker-assisted cashless exercise, while the Insider is in possession of material nonpublic information or subject to a trading blackout</w:t>
      </w:r>
      <w:r>
        <w:rPr>
          <w:rFonts w:ascii="Arial" w:cs="Arial" w:eastAsia="Arial" w:hAnsi="Arial"/>
          <w:sz w:val="19"/>
          <w:szCs w:val="19"/>
          <w:i w:val="1"/>
          <w:iCs w:val="1"/>
          <w:color w:val="auto"/>
        </w:rPr>
        <w:t>.</w:t>
      </w:r>
    </w:p>
    <w:p>
      <w:pPr>
        <w:spacing w:after="0" w:line="180" w:lineRule="exact"/>
        <w:rPr>
          <w:rFonts w:ascii="Arial" w:cs="Arial" w:eastAsia="Arial" w:hAnsi="Arial"/>
          <w:sz w:val="19"/>
          <w:szCs w:val="19"/>
          <w:color w:val="auto"/>
        </w:rPr>
      </w:pPr>
    </w:p>
    <w:p>
      <w:pPr>
        <w:jc w:val="both"/>
        <w:ind w:left="2360" w:right="160" w:hanging="664"/>
        <w:spacing w:after="0" w:line="243" w:lineRule="auto"/>
        <w:tabs>
          <w:tab w:leader="none" w:pos="2360" w:val="left"/>
        </w:tabs>
        <w:numPr>
          <w:ilvl w:val="1"/>
          <w:numId w:val="197"/>
        </w:numPr>
        <w:rPr>
          <w:rFonts w:ascii="Arial" w:cs="Arial" w:eastAsia="Arial" w:hAnsi="Arial"/>
          <w:sz w:val="19"/>
          <w:szCs w:val="19"/>
          <w:color w:val="auto"/>
        </w:rPr>
      </w:pPr>
      <w:r>
        <w:rPr>
          <w:rFonts w:ascii="Arial" w:cs="Arial" w:eastAsia="Arial" w:hAnsi="Arial"/>
          <w:sz w:val="19"/>
          <w:szCs w:val="19"/>
          <w:color w:val="auto"/>
        </w:rPr>
        <w:t>The vesting of restricted stock or restricted stock unit awards, or the exercise of a tax withhold right pursuant to which an Insider elects to have the Company withhold shares of stock to satisfy tax withholding requirements upon the vesting of any restricted stock or restricted stock units, provided that any securities acquired pursuant to such vesting may not be sold while the Insider is in possession of material nonpublic information or subject to a trading blackout.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40" w:top="1440" w:right="1279" w:bottom="1440" w:gutter="0" w:footer="0" w:header="0"/>
        </w:sectPr>
      </w:pPr>
    </w:p>
    <w:bookmarkStart w:id="273" w:name="page274"/>
    <w:bookmarkEnd w:id="273"/>
    <w:p>
      <w:pPr>
        <w:spacing w:after="0" w:line="118" w:lineRule="exact"/>
        <w:rPr>
          <w:sz w:val="20"/>
          <w:szCs w:val="20"/>
          <w:color w:val="auto"/>
        </w:rPr>
      </w:pPr>
    </w:p>
    <w:p>
      <w:pPr>
        <w:jc w:val="both"/>
        <w:ind w:left="2360" w:hanging="664"/>
        <w:spacing w:after="0" w:line="248" w:lineRule="auto"/>
        <w:tabs>
          <w:tab w:leader="none" w:pos="236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Acquisitions or dispositions of Company securities under any Company employee stock purchase plan or any other individual account that are made pursuant to standing instructions entered into while the Insider is not in possession of material nonpublic information or otherwise subject to a trading blackout.</w:t>
      </w:r>
    </w:p>
    <w:p>
      <w:pPr>
        <w:spacing w:after="0" w:line="176" w:lineRule="exact"/>
        <w:rPr>
          <w:rFonts w:ascii="Arial" w:cs="Arial" w:eastAsia="Arial" w:hAnsi="Arial"/>
          <w:sz w:val="19"/>
          <w:szCs w:val="19"/>
          <w:color w:val="auto"/>
        </w:rPr>
      </w:pPr>
    </w:p>
    <w:p>
      <w:pPr>
        <w:ind w:left="2360" w:hanging="664"/>
        <w:spacing w:after="0" w:line="270" w:lineRule="auto"/>
        <w:tabs>
          <w:tab w:leader="none" w:pos="236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Other purchases of securities from the Company or sales of securities to the Company that do not involve a market transaction.</w:t>
      </w:r>
    </w:p>
    <w:p>
      <w:pPr>
        <w:spacing w:after="0" w:line="156" w:lineRule="exact"/>
        <w:rPr>
          <w:rFonts w:ascii="Arial" w:cs="Arial" w:eastAsia="Arial" w:hAnsi="Arial"/>
          <w:sz w:val="19"/>
          <w:szCs w:val="19"/>
          <w:color w:val="auto"/>
        </w:rPr>
      </w:pPr>
    </w:p>
    <w:p>
      <w:pPr>
        <w:ind w:left="2360" w:hanging="664"/>
        <w:spacing w:after="0" w:line="270" w:lineRule="auto"/>
        <w:tabs>
          <w:tab w:leader="none" w:pos="236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Purchases, sales or donations made pursuant to a Rule 10b5-1 plan that is adopted and operated in compliance with the terms of this Policy (see Section VII).</w:t>
      </w:r>
    </w:p>
    <w:p>
      <w:pPr>
        <w:spacing w:after="0" w:line="141"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19"/>
          <w:szCs w:val="19"/>
          <w:b w:val="1"/>
          <w:bCs w:val="1"/>
          <w:color w:val="auto"/>
        </w:rPr>
        <w:t>DETERMINING WHETHER INFORMATION IS MATERIAL AND NONPUBLIC</w:t>
      </w:r>
    </w:p>
    <w:p>
      <w:pPr>
        <w:spacing w:after="0" w:line="221" w:lineRule="exact"/>
        <w:rPr>
          <w:sz w:val="20"/>
          <w:szCs w:val="20"/>
          <w:color w:val="auto"/>
        </w:rPr>
      </w:pPr>
    </w:p>
    <w:p>
      <w:pPr>
        <w:ind w:left="1700" w:hanging="753"/>
        <w:spacing w:after="0"/>
        <w:tabs>
          <w:tab w:leader="none" w:pos="1700" w:val="left"/>
        </w:tabs>
        <w:numPr>
          <w:ilvl w:val="0"/>
          <w:numId w:val="199"/>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 of “Material” Information.</w:t>
      </w:r>
    </w:p>
    <w:p>
      <w:pPr>
        <w:spacing w:after="0" w:line="213" w:lineRule="exact"/>
        <w:rPr>
          <w:rFonts w:ascii="Arial" w:cs="Arial" w:eastAsia="Arial" w:hAnsi="Arial"/>
          <w:sz w:val="19"/>
          <w:szCs w:val="19"/>
          <w:b w:val="1"/>
          <w:bCs w:val="1"/>
          <w:color w:val="auto"/>
        </w:rPr>
      </w:pPr>
    </w:p>
    <w:p>
      <w:pPr>
        <w:jc w:val="both"/>
        <w:ind w:left="2360" w:hanging="664"/>
        <w:spacing w:after="0" w:line="254" w:lineRule="auto"/>
        <w:tabs>
          <w:tab w:leader="none" w:pos="2360" w:val="left"/>
        </w:tabs>
        <w:numPr>
          <w:ilvl w:val="1"/>
          <w:numId w:val="199"/>
        </w:numPr>
        <w:rPr>
          <w:rFonts w:ascii="Arial" w:cs="Arial" w:eastAsia="Arial" w:hAnsi="Arial"/>
          <w:sz w:val="19"/>
          <w:szCs w:val="19"/>
          <w:color w:val="auto"/>
        </w:rPr>
      </w:pPr>
      <w:r>
        <w:rPr>
          <w:rFonts w:ascii="Arial" w:cs="Arial" w:eastAsia="Arial" w:hAnsi="Arial"/>
          <w:sz w:val="19"/>
          <w:szCs w:val="19"/>
          <w:color w:val="auto"/>
        </w:rPr>
        <w:t>There is no bright line test for determining whether particular information is material. Such a determination depends on the facts and circumstances unique to each situation and cannot be made solely based on the potential financial impact of the information.</w:t>
      </w:r>
    </w:p>
    <w:p>
      <w:pPr>
        <w:spacing w:after="0" w:line="170" w:lineRule="exact"/>
        <w:rPr>
          <w:rFonts w:ascii="Arial" w:cs="Arial" w:eastAsia="Arial" w:hAnsi="Arial"/>
          <w:sz w:val="19"/>
          <w:szCs w:val="19"/>
          <w:color w:val="auto"/>
        </w:rPr>
      </w:pPr>
    </w:p>
    <w:p>
      <w:pPr>
        <w:ind w:left="2360" w:hanging="664"/>
        <w:spacing w:after="0"/>
        <w:tabs>
          <w:tab w:leader="none" w:pos="2360" w:val="left"/>
        </w:tabs>
        <w:numPr>
          <w:ilvl w:val="1"/>
          <w:numId w:val="199"/>
        </w:numPr>
        <w:rPr>
          <w:rFonts w:ascii="Arial" w:cs="Arial" w:eastAsia="Arial" w:hAnsi="Arial"/>
          <w:sz w:val="19"/>
          <w:szCs w:val="19"/>
          <w:color w:val="auto"/>
        </w:rPr>
      </w:pPr>
      <w:r>
        <w:rPr>
          <w:rFonts w:ascii="Arial" w:cs="Arial" w:eastAsia="Arial" w:hAnsi="Arial"/>
          <w:sz w:val="19"/>
          <w:szCs w:val="19"/>
          <w:color w:val="auto"/>
        </w:rPr>
        <w:t>In general, information about the Company should be considered “material” if:</w:t>
      </w:r>
    </w:p>
    <w:p>
      <w:pPr>
        <w:spacing w:after="0" w:line="227" w:lineRule="exact"/>
        <w:rPr>
          <w:rFonts w:ascii="Arial" w:cs="Arial" w:eastAsia="Arial" w:hAnsi="Arial"/>
          <w:sz w:val="19"/>
          <w:szCs w:val="19"/>
          <w:color w:val="auto"/>
        </w:rPr>
      </w:pPr>
    </w:p>
    <w:p>
      <w:pPr>
        <w:ind w:left="2760" w:right="100" w:hanging="316"/>
        <w:spacing w:after="0" w:line="236" w:lineRule="auto"/>
        <w:tabs>
          <w:tab w:leader="none" w:pos="2760" w:val="left"/>
        </w:tabs>
        <w:numPr>
          <w:ilvl w:val="2"/>
          <w:numId w:val="199"/>
        </w:numPr>
        <w:rPr>
          <w:rFonts w:ascii="Times New Roman" w:cs="Times New Roman" w:eastAsia="Times New Roman" w:hAnsi="Times New Roman"/>
          <w:sz w:val="22"/>
          <w:szCs w:val="22"/>
          <w:color w:val="auto"/>
        </w:rPr>
      </w:pPr>
      <w:r>
        <w:rPr>
          <w:rFonts w:ascii="Arial" w:cs="Arial" w:eastAsia="Arial" w:hAnsi="Arial"/>
          <w:sz w:val="19"/>
          <w:szCs w:val="19"/>
          <w:color w:val="auto"/>
        </w:rPr>
        <w:t>A reasonable investor would consider the information significant when deciding whether to buy or sell Company securities; or</w:t>
      </w:r>
    </w:p>
    <w:p>
      <w:pPr>
        <w:spacing w:after="0" w:line="197" w:lineRule="exact"/>
        <w:rPr>
          <w:rFonts w:ascii="Times New Roman" w:cs="Times New Roman" w:eastAsia="Times New Roman" w:hAnsi="Times New Roman"/>
          <w:sz w:val="22"/>
          <w:szCs w:val="22"/>
          <w:color w:val="auto"/>
        </w:rPr>
      </w:pPr>
    </w:p>
    <w:p>
      <w:pPr>
        <w:jc w:val="both"/>
        <w:ind w:left="2760" w:right="100" w:hanging="316"/>
        <w:spacing w:after="0" w:line="236" w:lineRule="auto"/>
        <w:tabs>
          <w:tab w:leader="none" w:pos="2760" w:val="left"/>
        </w:tabs>
        <w:numPr>
          <w:ilvl w:val="2"/>
          <w:numId w:val="199"/>
        </w:numPr>
        <w:rPr>
          <w:rFonts w:ascii="Times New Roman" w:cs="Times New Roman" w:eastAsia="Times New Roman" w:hAnsi="Times New Roman"/>
          <w:sz w:val="22"/>
          <w:szCs w:val="22"/>
          <w:color w:val="auto"/>
        </w:rPr>
      </w:pPr>
      <w:r>
        <w:rPr>
          <w:rFonts w:ascii="Arial" w:cs="Arial" w:eastAsia="Arial" w:hAnsi="Arial"/>
          <w:sz w:val="19"/>
          <w:szCs w:val="19"/>
          <w:color w:val="auto"/>
        </w:rPr>
        <w:t>The information, if disclosed, could be viewed by a reasonable investor as having significantly altered the total mix of information available in the marketplace about the Company.</w:t>
      </w:r>
    </w:p>
    <w:p>
      <w:pPr>
        <w:spacing w:after="0" w:line="186" w:lineRule="exact"/>
        <w:rPr>
          <w:sz w:val="20"/>
          <w:szCs w:val="20"/>
          <w:color w:val="auto"/>
        </w:rPr>
      </w:pPr>
    </w:p>
    <w:p>
      <w:pPr>
        <w:ind w:left="2440" w:right="220"/>
        <w:spacing w:after="0" w:line="270" w:lineRule="auto"/>
        <w:rPr>
          <w:sz w:val="20"/>
          <w:szCs w:val="20"/>
          <w:color w:val="auto"/>
        </w:rPr>
      </w:pPr>
      <w:r>
        <w:rPr>
          <w:rFonts w:ascii="Arial" w:cs="Arial" w:eastAsia="Arial" w:hAnsi="Arial"/>
          <w:sz w:val="19"/>
          <w:szCs w:val="19"/>
          <w:color w:val="auto"/>
        </w:rPr>
        <w:t>Put simply, if the information could reasonably be expected to affect the price of the Company’s stock, it should be considered material.</w:t>
      </w:r>
    </w:p>
    <w:p>
      <w:pPr>
        <w:spacing w:after="0" w:line="156" w:lineRule="exact"/>
        <w:rPr>
          <w:sz w:val="20"/>
          <w:szCs w:val="20"/>
          <w:color w:val="auto"/>
        </w:rPr>
      </w:pPr>
    </w:p>
    <w:p>
      <w:pPr>
        <w:jc w:val="both"/>
        <w:ind w:left="2360" w:hanging="664"/>
        <w:spacing w:after="0" w:line="248" w:lineRule="auto"/>
        <w:tabs>
          <w:tab w:leader="none" w:pos="236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It is important to remember that whether information is material will be viewed by enforcement authorities with the benefit of hindsight. In other words, if the price of the Company’s stock changed as a result of the information having been made public, it will likely be considered material by enforcement authorities.</w:t>
      </w:r>
    </w:p>
    <w:p>
      <w:pPr>
        <w:spacing w:after="0" w:line="68" w:lineRule="exact"/>
        <w:rPr>
          <w:rFonts w:ascii="Arial" w:cs="Arial" w:eastAsia="Arial" w:hAnsi="Arial"/>
          <w:sz w:val="19"/>
          <w:szCs w:val="19"/>
          <w:color w:val="auto"/>
        </w:rPr>
      </w:pPr>
    </w:p>
    <w:p>
      <w:pPr>
        <w:ind w:left="2360" w:hanging="664"/>
        <w:spacing w:after="0" w:line="270" w:lineRule="auto"/>
        <w:tabs>
          <w:tab w:leader="none" w:pos="236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While it is not possible to identify every type of information that could be deemed “material,” the following matters ordinarily should be considered material:</w:t>
      </w:r>
    </w:p>
    <w:p>
      <w:pPr>
        <w:spacing w:after="0" w:line="61" w:lineRule="exact"/>
        <w:rPr>
          <w:rFonts w:ascii="Arial" w:cs="Arial" w:eastAsia="Arial" w:hAnsi="Arial"/>
          <w:sz w:val="19"/>
          <w:szCs w:val="19"/>
          <w:color w:val="auto"/>
        </w:rPr>
      </w:pPr>
    </w:p>
    <w:p>
      <w:pPr>
        <w:ind w:left="2760" w:right="80" w:hanging="316"/>
        <w:spacing w:after="0" w:line="235" w:lineRule="auto"/>
        <w:tabs>
          <w:tab w:leader="none" w:pos="2760" w:val="left"/>
        </w:tabs>
        <w:numPr>
          <w:ilvl w:val="1"/>
          <w:numId w:val="200"/>
        </w:numPr>
        <w:rPr>
          <w:rFonts w:ascii="Times New Roman" w:cs="Times New Roman" w:eastAsia="Times New Roman" w:hAnsi="Times New Roman"/>
          <w:sz w:val="22"/>
          <w:szCs w:val="22"/>
          <w:color w:val="auto"/>
        </w:rPr>
      </w:pPr>
      <w:r>
        <w:rPr>
          <w:rFonts w:ascii="Arial" w:cs="Arial" w:eastAsia="Arial" w:hAnsi="Arial"/>
          <w:sz w:val="19"/>
          <w:szCs w:val="19"/>
          <w:color w:val="auto"/>
        </w:rPr>
        <w:t>Projections of future earnings or losses, or other earnings guidance, or changes in projections or guidance.</w:t>
      </w:r>
    </w:p>
    <w:p>
      <w:pPr>
        <w:spacing w:after="0" w:line="1" w:lineRule="exact"/>
        <w:rPr>
          <w:rFonts w:ascii="Times New Roman" w:cs="Times New Roman" w:eastAsia="Times New Roman" w:hAnsi="Times New Roman"/>
          <w:sz w:val="22"/>
          <w:szCs w:val="22"/>
          <w:color w:val="auto"/>
        </w:rPr>
      </w:pPr>
    </w:p>
    <w:p>
      <w:pPr>
        <w:ind w:left="2760" w:right="80" w:hanging="316"/>
        <w:spacing w:after="0" w:line="226" w:lineRule="auto"/>
        <w:tabs>
          <w:tab w:leader="none" w:pos="2760" w:val="left"/>
        </w:tabs>
        <w:numPr>
          <w:ilvl w:val="1"/>
          <w:numId w:val="200"/>
        </w:numPr>
        <w:rPr>
          <w:rFonts w:ascii="Times New Roman" w:cs="Times New Roman" w:eastAsia="Times New Roman" w:hAnsi="Times New Roman"/>
          <w:sz w:val="22"/>
          <w:szCs w:val="22"/>
          <w:color w:val="auto"/>
        </w:rPr>
      </w:pPr>
      <w:r>
        <w:rPr>
          <w:rFonts w:ascii="Arial" w:cs="Arial" w:eastAsia="Arial" w:hAnsi="Arial"/>
          <w:sz w:val="19"/>
          <w:szCs w:val="19"/>
          <w:color w:val="auto"/>
        </w:rPr>
        <w:t>Financial performance, especially quarterly and year-end earnings or significant changes in financial performance or liquidity.</w:t>
      </w:r>
    </w:p>
    <w:p>
      <w:pPr>
        <w:spacing w:after="0" w:line="1" w:lineRule="exact"/>
        <w:rPr>
          <w:rFonts w:ascii="Times New Roman" w:cs="Times New Roman" w:eastAsia="Times New Roman" w:hAnsi="Times New Roman"/>
          <w:sz w:val="22"/>
          <w:szCs w:val="22"/>
          <w:color w:val="auto"/>
        </w:rPr>
      </w:pPr>
    </w:p>
    <w:p>
      <w:pPr>
        <w:ind w:left="2760" w:right="80" w:hanging="316"/>
        <w:spacing w:after="0" w:line="226" w:lineRule="auto"/>
        <w:tabs>
          <w:tab w:leader="none" w:pos="2760" w:val="left"/>
        </w:tabs>
        <w:numPr>
          <w:ilvl w:val="1"/>
          <w:numId w:val="200"/>
        </w:numPr>
        <w:rPr>
          <w:rFonts w:ascii="Times New Roman" w:cs="Times New Roman" w:eastAsia="Times New Roman" w:hAnsi="Times New Roman"/>
          <w:sz w:val="22"/>
          <w:szCs w:val="22"/>
          <w:color w:val="auto"/>
        </w:rPr>
      </w:pPr>
      <w:r>
        <w:rPr>
          <w:rFonts w:ascii="Arial" w:cs="Arial" w:eastAsia="Arial" w:hAnsi="Arial"/>
          <w:sz w:val="19"/>
          <w:szCs w:val="19"/>
          <w:color w:val="auto"/>
        </w:rPr>
        <w:t>Results, status or progress of Company clinical trials or Company manufacturing capabilities or developments.</w:t>
      </w:r>
    </w:p>
    <w:p>
      <w:pPr>
        <w:spacing w:after="0" w:line="1" w:lineRule="exact"/>
        <w:rPr>
          <w:rFonts w:ascii="Times New Roman" w:cs="Times New Roman" w:eastAsia="Times New Roman" w:hAnsi="Times New Roman"/>
          <w:sz w:val="22"/>
          <w:szCs w:val="22"/>
          <w:color w:val="auto"/>
        </w:rPr>
      </w:pPr>
    </w:p>
    <w:p>
      <w:pPr>
        <w:ind w:left="2760" w:hanging="316"/>
        <w:spacing w:after="0" w:line="219" w:lineRule="auto"/>
        <w:tabs>
          <w:tab w:leader="none" w:pos="2760" w:val="left"/>
        </w:tabs>
        <w:numPr>
          <w:ilvl w:val="1"/>
          <w:numId w:val="200"/>
        </w:numPr>
        <w:rPr>
          <w:rFonts w:ascii="Times New Roman" w:cs="Times New Roman" w:eastAsia="Times New Roman" w:hAnsi="Times New Roman"/>
          <w:sz w:val="22"/>
          <w:szCs w:val="22"/>
          <w:color w:val="auto"/>
        </w:rPr>
      </w:pPr>
      <w:r>
        <w:rPr>
          <w:rFonts w:ascii="Arial" w:cs="Arial" w:eastAsia="Arial" w:hAnsi="Arial"/>
          <w:sz w:val="19"/>
          <w:szCs w:val="19"/>
          <w:color w:val="auto"/>
        </w:rPr>
        <w:t>Regulatory matters or developments impacting the Company.</w:t>
      </w:r>
    </w:p>
    <w:p>
      <w:pPr>
        <w:spacing w:after="0" w:line="6" w:lineRule="exact"/>
        <w:rPr>
          <w:rFonts w:ascii="Times New Roman" w:cs="Times New Roman" w:eastAsia="Times New Roman" w:hAnsi="Times New Roman"/>
          <w:sz w:val="22"/>
          <w:szCs w:val="22"/>
          <w:color w:val="auto"/>
        </w:rPr>
      </w:pPr>
    </w:p>
    <w:p>
      <w:pPr>
        <w:ind w:left="2760" w:right="80" w:hanging="316"/>
        <w:spacing w:after="0" w:line="230" w:lineRule="auto"/>
        <w:tabs>
          <w:tab w:leader="none" w:pos="2760" w:val="left"/>
        </w:tabs>
        <w:numPr>
          <w:ilvl w:val="1"/>
          <w:numId w:val="200"/>
        </w:numPr>
        <w:rPr>
          <w:rFonts w:ascii="Times New Roman" w:cs="Times New Roman" w:eastAsia="Times New Roman" w:hAnsi="Times New Roman"/>
          <w:sz w:val="22"/>
          <w:szCs w:val="22"/>
          <w:color w:val="auto"/>
        </w:rPr>
      </w:pPr>
      <w:r>
        <w:rPr>
          <w:rFonts w:ascii="Arial" w:cs="Arial" w:eastAsia="Arial" w:hAnsi="Arial"/>
          <w:sz w:val="19"/>
          <w:szCs w:val="19"/>
          <w:color w:val="auto"/>
        </w:rPr>
        <w:t>Potential or current public or private financings including Company equity or debt offerings, stock splits or changes in dividend policies.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440" w:right="1439" w:bottom="1440" w:gutter="0" w:footer="0" w:header="0"/>
        </w:sectPr>
      </w:pPr>
    </w:p>
    <w:bookmarkStart w:id="274" w:name="page275"/>
    <w:bookmarkEnd w:id="274"/>
    <w:p>
      <w:pPr>
        <w:ind w:left="2760" w:right="100" w:hanging="316"/>
        <w:spacing w:after="0" w:line="235" w:lineRule="auto"/>
        <w:tabs>
          <w:tab w:leader="none" w:pos="2760" w:val="left"/>
        </w:tabs>
        <w:numPr>
          <w:ilvl w:val="3"/>
          <w:numId w:val="201"/>
        </w:numPr>
        <w:rPr>
          <w:rFonts w:ascii="Times New Roman" w:cs="Times New Roman" w:eastAsia="Times New Roman" w:hAnsi="Times New Roman"/>
          <w:sz w:val="22"/>
          <w:szCs w:val="22"/>
          <w:color w:val="auto"/>
        </w:rPr>
      </w:pPr>
      <w:r>
        <w:rPr>
          <w:rFonts w:ascii="Arial" w:cs="Arial" w:eastAsia="Arial" w:hAnsi="Arial"/>
          <w:sz w:val="19"/>
          <w:szCs w:val="19"/>
          <w:color w:val="auto"/>
        </w:rPr>
        <w:t>Potential significant mergers and acquisitions or the sale of significant assets or subsidiaries.</w:t>
      </w:r>
    </w:p>
    <w:p>
      <w:pPr>
        <w:spacing w:after="0" w:line="1" w:lineRule="exact"/>
        <w:rPr>
          <w:rFonts w:ascii="Times New Roman" w:cs="Times New Roman" w:eastAsia="Times New Roman" w:hAnsi="Times New Roman"/>
          <w:sz w:val="22"/>
          <w:szCs w:val="22"/>
          <w:color w:val="auto"/>
        </w:rPr>
      </w:pPr>
    </w:p>
    <w:p>
      <w:pPr>
        <w:ind w:left="2760" w:right="180" w:hanging="316"/>
        <w:spacing w:after="0" w:line="226" w:lineRule="auto"/>
        <w:tabs>
          <w:tab w:leader="none" w:pos="2760" w:val="left"/>
        </w:tabs>
        <w:numPr>
          <w:ilvl w:val="3"/>
          <w:numId w:val="201"/>
        </w:numPr>
        <w:rPr>
          <w:rFonts w:ascii="Times New Roman" w:cs="Times New Roman" w:eastAsia="Times New Roman" w:hAnsi="Times New Roman"/>
          <w:sz w:val="22"/>
          <w:szCs w:val="22"/>
          <w:color w:val="auto"/>
        </w:rPr>
      </w:pPr>
      <w:r>
        <w:rPr>
          <w:rFonts w:ascii="Arial" w:cs="Arial" w:eastAsia="Arial" w:hAnsi="Arial"/>
          <w:sz w:val="19"/>
          <w:szCs w:val="19"/>
          <w:color w:val="auto"/>
        </w:rPr>
        <w:t>Major discoveries or significant changes or developments in products or product lines, research or technologies.</w:t>
      </w:r>
    </w:p>
    <w:p>
      <w:pPr>
        <w:spacing w:after="0" w:line="1" w:lineRule="exact"/>
        <w:rPr>
          <w:rFonts w:ascii="Times New Roman" w:cs="Times New Roman" w:eastAsia="Times New Roman" w:hAnsi="Times New Roman"/>
          <w:sz w:val="22"/>
          <w:szCs w:val="22"/>
          <w:color w:val="auto"/>
        </w:rPr>
      </w:pPr>
    </w:p>
    <w:p>
      <w:pPr>
        <w:ind w:left="2760" w:right="520" w:hanging="316"/>
        <w:spacing w:after="0" w:line="226" w:lineRule="auto"/>
        <w:tabs>
          <w:tab w:leader="none" w:pos="2760" w:val="left"/>
        </w:tabs>
        <w:numPr>
          <w:ilvl w:val="3"/>
          <w:numId w:val="201"/>
        </w:numPr>
        <w:rPr>
          <w:rFonts w:ascii="Times New Roman" w:cs="Times New Roman" w:eastAsia="Times New Roman" w:hAnsi="Times New Roman"/>
          <w:sz w:val="22"/>
          <w:szCs w:val="22"/>
          <w:color w:val="auto"/>
        </w:rPr>
      </w:pPr>
      <w:r>
        <w:rPr>
          <w:rFonts w:ascii="Arial" w:cs="Arial" w:eastAsia="Arial" w:hAnsi="Arial"/>
          <w:sz w:val="19"/>
          <w:szCs w:val="19"/>
          <w:color w:val="auto"/>
        </w:rPr>
        <w:t>New major contracts, orders, suppliers, customers, or finance sources, or the loss thereof.</w:t>
      </w:r>
    </w:p>
    <w:p>
      <w:pPr>
        <w:spacing w:after="0" w:line="1" w:lineRule="exact"/>
        <w:rPr>
          <w:rFonts w:ascii="Times New Roman" w:cs="Times New Roman" w:eastAsia="Times New Roman" w:hAnsi="Times New Roman"/>
          <w:sz w:val="22"/>
          <w:szCs w:val="22"/>
          <w:color w:val="auto"/>
        </w:rPr>
      </w:pPr>
    </w:p>
    <w:p>
      <w:pPr>
        <w:ind w:left="2760" w:right="540" w:hanging="316"/>
        <w:spacing w:after="0" w:line="226" w:lineRule="auto"/>
        <w:tabs>
          <w:tab w:leader="none" w:pos="2760" w:val="left"/>
        </w:tabs>
        <w:numPr>
          <w:ilvl w:val="3"/>
          <w:numId w:val="201"/>
        </w:numPr>
        <w:rPr>
          <w:rFonts w:ascii="Times New Roman" w:cs="Times New Roman" w:eastAsia="Times New Roman" w:hAnsi="Times New Roman"/>
          <w:sz w:val="22"/>
          <w:szCs w:val="22"/>
          <w:color w:val="auto"/>
        </w:rPr>
      </w:pPr>
      <w:r>
        <w:rPr>
          <w:rFonts w:ascii="Arial" w:cs="Arial" w:eastAsia="Arial" w:hAnsi="Arial"/>
          <w:sz w:val="19"/>
          <w:szCs w:val="19"/>
          <w:color w:val="auto"/>
        </w:rPr>
        <w:t>Significant changes or developments in supplies or inventory, including significant product defects, recalls or product returns.</w:t>
      </w:r>
    </w:p>
    <w:p>
      <w:pPr>
        <w:spacing w:after="0" w:line="1" w:lineRule="exact"/>
        <w:rPr>
          <w:rFonts w:ascii="Times New Roman" w:cs="Times New Roman" w:eastAsia="Times New Roman" w:hAnsi="Times New Roman"/>
          <w:sz w:val="22"/>
          <w:szCs w:val="22"/>
          <w:color w:val="auto"/>
        </w:rPr>
      </w:pPr>
    </w:p>
    <w:p>
      <w:pPr>
        <w:ind w:left="2820" w:hanging="376"/>
        <w:spacing w:after="0" w:line="219" w:lineRule="auto"/>
        <w:tabs>
          <w:tab w:leader="none" w:pos="2820" w:val="left"/>
        </w:tabs>
        <w:numPr>
          <w:ilvl w:val="3"/>
          <w:numId w:val="201"/>
        </w:numPr>
        <w:rPr>
          <w:rFonts w:ascii="Times New Roman" w:cs="Times New Roman" w:eastAsia="Times New Roman" w:hAnsi="Times New Roman"/>
          <w:sz w:val="22"/>
          <w:szCs w:val="22"/>
          <w:color w:val="auto"/>
        </w:rPr>
      </w:pPr>
      <w:r>
        <w:rPr>
          <w:rFonts w:ascii="Arial" w:cs="Arial" w:eastAsia="Arial" w:hAnsi="Arial"/>
          <w:sz w:val="19"/>
          <w:szCs w:val="19"/>
          <w:color w:val="auto"/>
        </w:rPr>
        <w:t>Significant changes in senior management.</w:t>
      </w:r>
    </w:p>
    <w:p>
      <w:pPr>
        <w:spacing w:after="0" w:line="6" w:lineRule="exact"/>
        <w:rPr>
          <w:rFonts w:ascii="Times New Roman" w:cs="Times New Roman" w:eastAsia="Times New Roman" w:hAnsi="Times New Roman"/>
          <w:sz w:val="22"/>
          <w:szCs w:val="22"/>
          <w:color w:val="auto"/>
        </w:rPr>
      </w:pPr>
    </w:p>
    <w:p>
      <w:pPr>
        <w:ind w:left="2760" w:hanging="316"/>
        <w:spacing w:after="0" w:line="224" w:lineRule="auto"/>
        <w:tabs>
          <w:tab w:leader="none" w:pos="2760" w:val="left"/>
        </w:tabs>
        <w:numPr>
          <w:ilvl w:val="3"/>
          <w:numId w:val="201"/>
        </w:numPr>
        <w:rPr>
          <w:rFonts w:ascii="Times New Roman" w:cs="Times New Roman" w:eastAsia="Times New Roman" w:hAnsi="Times New Roman"/>
          <w:sz w:val="22"/>
          <w:szCs w:val="22"/>
          <w:color w:val="auto"/>
        </w:rPr>
      </w:pPr>
      <w:r>
        <w:rPr>
          <w:rFonts w:ascii="Arial" w:cs="Arial" w:eastAsia="Arial" w:hAnsi="Arial"/>
          <w:sz w:val="19"/>
          <w:szCs w:val="19"/>
          <w:color w:val="auto"/>
        </w:rPr>
        <w:t>Actual or threatened major litigation, or the resolution of such litigation.</w:t>
      </w:r>
    </w:p>
    <w:p>
      <w:pPr>
        <w:spacing w:after="0" w:line="6" w:lineRule="exact"/>
        <w:rPr>
          <w:rFonts w:ascii="Times New Roman" w:cs="Times New Roman" w:eastAsia="Times New Roman" w:hAnsi="Times New Roman"/>
          <w:sz w:val="22"/>
          <w:szCs w:val="22"/>
          <w:color w:val="auto"/>
        </w:rPr>
      </w:pPr>
    </w:p>
    <w:p>
      <w:pPr>
        <w:ind w:left="2760" w:right="180" w:hanging="316"/>
        <w:spacing w:after="0" w:line="229" w:lineRule="auto"/>
        <w:tabs>
          <w:tab w:leader="none" w:pos="2760" w:val="left"/>
        </w:tabs>
        <w:numPr>
          <w:ilvl w:val="3"/>
          <w:numId w:val="201"/>
        </w:numPr>
        <w:rPr>
          <w:rFonts w:ascii="Times New Roman" w:cs="Times New Roman" w:eastAsia="Times New Roman" w:hAnsi="Times New Roman"/>
          <w:sz w:val="22"/>
          <w:szCs w:val="22"/>
          <w:color w:val="auto"/>
        </w:rPr>
      </w:pPr>
      <w:r>
        <w:rPr>
          <w:rFonts w:ascii="Arial" w:cs="Arial" w:eastAsia="Arial" w:hAnsi="Arial"/>
          <w:sz w:val="19"/>
          <w:szCs w:val="19"/>
          <w:color w:val="auto"/>
        </w:rPr>
        <w:t>The contents of forthcoming publications that may affect the market price of Company securities.</w:t>
      </w:r>
    </w:p>
    <w:p>
      <w:pPr>
        <w:spacing w:after="0" w:line="1" w:lineRule="exact"/>
        <w:rPr>
          <w:rFonts w:ascii="Times New Roman" w:cs="Times New Roman" w:eastAsia="Times New Roman" w:hAnsi="Times New Roman"/>
          <w:sz w:val="22"/>
          <w:szCs w:val="22"/>
          <w:color w:val="auto"/>
        </w:rPr>
      </w:pPr>
    </w:p>
    <w:p>
      <w:pPr>
        <w:ind w:left="2760" w:right="560" w:hanging="316"/>
        <w:spacing w:after="0" w:line="227" w:lineRule="auto"/>
        <w:tabs>
          <w:tab w:leader="none" w:pos="2760" w:val="left"/>
        </w:tabs>
        <w:numPr>
          <w:ilvl w:val="3"/>
          <w:numId w:val="201"/>
        </w:numPr>
        <w:rPr>
          <w:rFonts w:ascii="Times New Roman" w:cs="Times New Roman" w:eastAsia="Times New Roman" w:hAnsi="Times New Roman"/>
          <w:sz w:val="22"/>
          <w:szCs w:val="22"/>
          <w:color w:val="auto"/>
        </w:rPr>
      </w:pPr>
      <w:r>
        <w:rPr>
          <w:rFonts w:ascii="Arial" w:cs="Arial" w:eastAsia="Arial" w:hAnsi="Arial"/>
          <w:sz w:val="19"/>
          <w:szCs w:val="19"/>
          <w:color w:val="auto"/>
        </w:rPr>
        <w:t>Significant breaches of information technology systems or other events impacting cybersecurity.</w:t>
      </w:r>
    </w:p>
    <w:p>
      <w:pPr>
        <w:spacing w:after="0" w:line="184" w:lineRule="exact"/>
        <w:rPr>
          <w:rFonts w:ascii="Times New Roman" w:cs="Times New Roman" w:eastAsia="Times New Roman" w:hAnsi="Times New Roman"/>
          <w:sz w:val="22"/>
          <w:szCs w:val="22"/>
          <w:color w:val="auto"/>
        </w:rPr>
      </w:pPr>
    </w:p>
    <w:p>
      <w:pPr>
        <w:ind w:left="1700" w:hanging="753"/>
        <w:spacing w:after="0"/>
        <w:tabs>
          <w:tab w:leader="none" w:pos="1700" w:val="left"/>
        </w:tabs>
        <w:numPr>
          <w:ilvl w:val="1"/>
          <w:numId w:val="201"/>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 of “Nonpublic” Information.</w:t>
      </w:r>
    </w:p>
    <w:p>
      <w:pPr>
        <w:spacing w:after="0" w:line="213" w:lineRule="exact"/>
        <w:rPr>
          <w:rFonts w:ascii="Arial" w:cs="Arial" w:eastAsia="Arial" w:hAnsi="Arial"/>
          <w:sz w:val="19"/>
          <w:szCs w:val="19"/>
          <w:b w:val="1"/>
          <w:bCs w:val="1"/>
          <w:color w:val="auto"/>
        </w:rPr>
      </w:pPr>
    </w:p>
    <w:p>
      <w:pPr>
        <w:jc w:val="both"/>
        <w:ind w:left="1700"/>
        <w:spacing w:after="0" w:line="242" w:lineRule="auto"/>
        <w:rPr>
          <w:rFonts w:ascii="Arial" w:cs="Arial" w:eastAsia="Arial" w:hAnsi="Arial"/>
          <w:sz w:val="19"/>
          <w:szCs w:val="19"/>
          <w:b w:val="1"/>
          <w:bCs w:val="1"/>
          <w:color w:val="auto"/>
        </w:rPr>
      </w:pPr>
      <w:r>
        <w:rPr>
          <w:rFonts w:ascii="Arial" w:cs="Arial" w:eastAsia="Arial" w:hAnsi="Arial"/>
          <w:sz w:val="19"/>
          <w:szCs w:val="19"/>
          <w:color w:val="auto"/>
        </w:rPr>
        <w:t>Information is “nonpublic” if it has not been disseminated to investors through a widely circulated news or wire service or through a public filing with the Securities and Exchange Commission (the “SEC”). For the purposes of this Policy, information will be not considered public until after the close of trading on the first full trading day following the day that the Company releases the information to the public. By way of example, if the Company disclosed material non-public information on a Monday (either before or after the market opens), the information disclosed would be considered public at the close of trading on the immediately following Tuesday.</w:t>
      </w:r>
    </w:p>
    <w:p>
      <w:pPr>
        <w:spacing w:after="0" w:line="185" w:lineRule="exact"/>
        <w:rPr>
          <w:rFonts w:ascii="Arial" w:cs="Arial" w:eastAsia="Arial" w:hAnsi="Arial"/>
          <w:sz w:val="19"/>
          <w:szCs w:val="19"/>
          <w:b w:val="1"/>
          <w:bCs w:val="1"/>
          <w:color w:val="auto"/>
        </w:rPr>
      </w:pPr>
    </w:p>
    <w:p>
      <w:pPr>
        <w:ind w:left="1700" w:hanging="753"/>
        <w:spacing w:after="0"/>
        <w:tabs>
          <w:tab w:leader="none" w:pos="1700" w:val="left"/>
        </w:tabs>
        <w:numPr>
          <w:ilvl w:val="1"/>
          <w:numId w:val="201"/>
        </w:numPr>
        <w:rPr>
          <w:rFonts w:ascii="Arial" w:cs="Arial" w:eastAsia="Arial" w:hAnsi="Arial"/>
          <w:sz w:val="19"/>
          <w:szCs w:val="19"/>
          <w:b w:val="1"/>
          <w:bCs w:val="1"/>
          <w:color w:val="auto"/>
        </w:rPr>
      </w:pPr>
      <w:r>
        <w:rPr>
          <w:rFonts w:ascii="Arial" w:cs="Arial" w:eastAsia="Arial" w:hAnsi="Arial"/>
          <w:sz w:val="19"/>
          <w:szCs w:val="19"/>
          <w:b w:val="1"/>
          <w:bCs w:val="1"/>
          <w:color w:val="auto"/>
        </w:rPr>
        <w:t>Consult the Compliance Officer for Guidance.</w:t>
      </w:r>
    </w:p>
    <w:p>
      <w:pPr>
        <w:spacing w:after="0" w:line="213" w:lineRule="exact"/>
        <w:rPr>
          <w:rFonts w:ascii="Arial" w:cs="Arial" w:eastAsia="Arial" w:hAnsi="Arial"/>
          <w:sz w:val="19"/>
          <w:szCs w:val="19"/>
          <w:b w:val="1"/>
          <w:bCs w:val="1"/>
          <w:color w:val="auto"/>
        </w:rPr>
      </w:pPr>
    </w:p>
    <w:p>
      <w:pPr>
        <w:jc w:val="both"/>
        <w:ind w:left="1700"/>
        <w:spacing w:after="0" w:line="254" w:lineRule="auto"/>
        <w:rPr>
          <w:rFonts w:ascii="Arial" w:cs="Arial" w:eastAsia="Arial" w:hAnsi="Arial"/>
          <w:sz w:val="19"/>
          <w:szCs w:val="19"/>
          <w:b w:val="1"/>
          <w:bCs w:val="1"/>
          <w:color w:val="auto"/>
        </w:rPr>
      </w:pPr>
      <w:r>
        <w:rPr>
          <w:rFonts w:ascii="Arial" w:cs="Arial" w:eastAsia="Arial" w:hAnsi="Arial"/>
          <w:sz w:val="19"/>
          <w:szCs w:val="19"/>
          <w:color w:val="auto"/>
        </w:rPr>
        <w:t>Any Insider who is unsure whether the information that the Insider possesses is material or nonpublic should consult the Compliance Officer for guidance before trading in any Company securities.</w:t>
      </w:r>
    </w:p>
    <w:p>
      <w:pPr>
        <w:spacing w:after="0" w:line="222" w:lineRule="exact"/>
        <w:rPr>
          <w:rFonts w:ascii="Arial" w:cs="Arial" w:eastAsia="Arial" w:hAnsi="Arial"/>
          <w:sz w:val="19"/>
          <w:szCs w:val="19"/>
          <w:b w:val="1"/>
          <w:bCs w:val="1"/>
          <w:color w:val="auto"/>
        </w:rPr>
      </w:pPr>
    </w:p>
    <w:p>
      <w:pPr>
        <w:ind w:left="200"/>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 xml:space="preserve">V. </w:t>
      </w:r>
      <w:r>
        <w:rPr>
          <w:rFonts w:ascii="Arial" w:cs="Arial" w:eastAsia="Arial" w:hAnsi="Arial"/>
          <w:sz w:val="18"/>
          <w:szCs w:val="18"/>
          <w:b w:val="1"/>
          <w:bCs w:val="1"/>
          <w:color w:val="auto"/>
        </w:rPr>
        <w:t>TRADING WINDOWS AND TRADE APPROVALS</w:t>
      </w:r>
    </w:p>
    <w:p>
      <w:pPr>
        <w:spacing w:after="0" w:line="220" w:lineRule="exact"/>
        <w:rPr>
          <w:rFonts w:ascii="Arial" w:cs="Arial" w:eastAsia="Arial" w:hAnsi="Arial"/>
          <w:sz w:val="19"/>
          <w:szCs w:val="19"/>
          <w:b w:val="1"/>
          <w:bCs w:val="1"/>
          <w:color w:val="auto"/>
        </w:rPr>
      </w:pPr>
    </w:p>
    <w:p>
      <w:pPr>
        <w:ind w:left="1700" w:hanging="753"/>
        <w:spacing w:after="0"/>
        <w:tabs>
          <w:tab w:leader="none" w:pos="1700" w:val="left"/>
        </w:tabs>
        <w:numPr>
          <w:ilvl w:val="1"/>
          <w:numId w:val="202"/>
        </w:numPr>
        <w:rPr>
          <w:rFonts w:ascii="Arial" w:cs="Arial" w:eastAsia="Arial" w:hAnsi="Arial"/>
          <w:sz w:val="19"/>
          <w:szCs w:val="19"/>
          <w:b w:val="1"/>
          <w:bCs w:val="1"/>
          <w:color w:val="auto"/>
        </w:rPr>
      </w:pPr>
      <w:r>
        <w:rPr>
          <w:rFonts w:ascii="Arial" w:cs="Arial" w:eastAsia="Arial" w:hAnsi="Arial"/>
          <w:sz w:val="19"/>
          <w:szCs w:val="19"/>
          <w:b w:val="1"/>
          <w:bCs w:val="1"/>
          <w:color w:val="auto"/>
        </w:rPr>
        <w:t>Trading Windows.</w:t>
      </w:r>
    </w:p>
    <w:p>
      <w:pPr>
        <w:spacing w:after="0" w:line="213" w:lineRule="exact"/>
        <w:rPr>
          <w:rFonts w:ascii="Arial" w:cs="Arial" w:eastAsia="Arial" w:hAnsi="Arial"/>
          <w:sz w:val="19"/>
          <w:szCs w:val="19"/>
          <w:b w:val="1"/>
          <w:bCs w:val="1"/>
          <w:color w:val="auto"/>
        </w:rPr>
      </w:pPr>
    </w:p>
    <w:p>
      <w:pPr>
        <w:jc w:val="both"/>
        <w:ind w:left="2360" w:hanging="664"/>
        <w:spacing w:after="0"/>
        <w:tabs>
          <w:tab w:leader="none" w:pos="2360" w:val="left"/>
        </w:tabs>
        <w:numPr>
          <w:ilvl w:val="2"/>
          <w:numId w:val="202"/>
        </w:numPr>
        <w:rPr>
          <w:rFonts w:ascii="Arial" w:cs="Arial" w:eastAsia="Arial" w:hAnsi="Arial"/>
          <w:sz w:val="19"/>
          <w:szCs w:val="19"/>
          <w:color w:val="auto"/>
        </w:rPr>
      </w:pPr>
      <w:r>
        <w:rPr>
          <w:rFonts w:ascii="Arial" w:cs="Arial" w:eastAsia="Arial" w:hAnsi="Arial"/>
          <w:sz w:val="19"/>
          <w:szCs w:val="19"/>
          <w:u w:val="single" w:color="auto"/>
          <w:color w:val="auto"/>
        </w:rPr>
        <w:t>Trading Only While Trading Window is Open</w:t>
      </w:r>
      <w:r>
        <w:rPr>
          <w:rFonts w:ascii="Arial" w:cs="Arial" w:eastAsia="Arial" w:hAnsi="Arial"/>
          <w:sz w:val="19"/>
          <w:szCs w:val="19"/>
          <w:color w:val="auto"/>
        </w:rPr>
        <w:t>. Insiders may buy, sell, donate or otherwise transact in Company securities only while the Company’s trading window is open. In general, the Company’s trading window opens after the close of trading on the first full trading day immediately following the day that the Company announces quarterly earnings and remains open through the last trading day of the then-current fiscal quarter. By way of example, if the Company announced its quarterly earnings on a Monday (either before or after the market opens), the trading window would commence at the close of trading on the immediately following Tuesday. In addition, the Compliance Officer may designate additional periods (“special trading blackout periods”) during which the Company’s trading window is not open and Insiders may not trade in Company securities.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355" w:right="1439" w:bottom="1440" w:gutter="0" w:footer="0" w:header="0"/>
        </w:sectPr>
      </w:pPr>
    </w:p>
    <w:bookmarkStart w:id="275" w:name="page276"/>
    <w:bookmarkEnd w:id="275"/>
    <w:p>
      <w:pPr>
        <w:spacing w:after="0" w:line="200" w:lineRule="exact"/>
        <w:rPr>
          <w:sz w:val="20"/>
          <w:szCs w:val="20"/>
          <w:color w:val="auto"/>
        </w:rPr>
      </w:pPr>
    </w:p>
    <w:p>
      <w:pPr>
        <w:spacing w:after="0" w:line="350" w:lineRule="exact"/>
        <w:rPr>
          <w:sz w:val="20"/>
          <w:szCs w:val="20"/>
          <w:color w:val="auto"/>
        </w:rPr>
      </w:pPr>
    </w:p>
    <w:p>
      <w:pPr>
        <w:jc w:val="both"/>
        <w:ind w:left="2360" w:hanging="664"/>
        <w:spacing w:after="0" w:line="245" w:lineRule="auto"/>
        <w:tabs>
          <w:tab w:leader="none" w:pos="2360" w:val="left"/>
        </w:tabs>
        <w:numPr>
          <w:ilvl w:val="1"/>
          <w:numId w:val="203"/>
        </w:numPr>
        <w:rPr>
          <w:rFonts w:ascii="Arial" w:cs="Arial" w:eastAsia="Arial" w:hAnsi="Arial"/>
          <w:sz w:val="19"/>
          <w:szCs w:val="19"/>
          <w:color w:val="auto"/>
        </w:rPr>
      </w:pPr>
      <w:r>
        <w:rPr>
          <w:rFonts w:ascii="Arial" w:cs="Arial" w:eastAsia="Arial" w:hAnsi="Arial"/>
          <w:sz w:val="19"/>
          <w:szCs w:val="19"/>
          <w:u w:val="single" w:color="auto"/>
          <w:color w:val="auto"/>
        </w:rPr>
        <w:t>No Trading While Aware of Material Nonpublic Information</w:t>
      </w:r>
      <w:r>
        <w:rPr>
          <w:rFonts w:ascii="Arial" w:cs="Arial" w:eastAsia="Arial" w:hAnsi="Arial"/>
          <w:sz w:val="19"/>
          <w:szCs w:val="19"/>
          <w:color w:val="auto"/>
        </w:rPr>
        <w:t>. Notwithstanding the provisions of the immediately preceding section, an Insider who is in possession of material nonpublic information regarding the Company may not trade in Company securities until the close of trading on the first full trading day following the Company’s widespread public release of such information.</w:t>
      </w:r>
    </w:p>
    <w:p>
      <w:pPr>
        <w:spacing w:after="0" w:line="180" w:lineRule="exact"/>
        <w:rPr>
          <w:rFonts w:ascii="Arial" w:cs="Arial" w:eastAsia="Arial" w:hAnsi="Arial"/>
          <w:sz w:val="19"/>
          <w:szCs w:val="19"/>
          <w:color w:val="auto"/>
        </w:rPr>
      </w:pPr>
    </w:p>
    <w:p>
      <w:pPr>
        <w:jc w:val="both"/>
        <w:ind w:left="2360" w:hanging="664"/>
        <w:spacing w:after="0" w:line="245" w:lineRule="auto"/>
        <w:tabs>
          <w:tab w:leader="none" w:pos="2360" w:val="left"/>
        </w:tabs>
        <w:numPr>
          <w:ilvl w:val="1"/>
          <w:numId w:val="203"/>
        </w:numPr>
        <w:rPr>
          <w:rFonts w:ascii="Arial" w:cs="Arial" w:eastAsia="Arial" w:hAnsi="Arial"/>
          <w:sz w:val="19"/>
          <w:szCs w:val="19"/>
          <w:color w:val="auto"/>
        </w:rPr>
      </w:pPr>
      <w:r>
        <w:rPr>
          <w:rFonts w:ascii="Arial" w:cs="Arial" w:eastAsia="Arial" w:hAnsi="Arial"/>
          <w:sz w:val="19"/>
          <w:szCs w:val="19"/>
          <w:u w:val="single" w:color="auto"/>
          <w:color w:val="auto"/>
        </w:rPr>
        <w:t>Exceptions for Hardship Cases</w:t>
      </w:r>
      <w:r>
        <w:rPr>
          <w:rFonts w:ascii="Arial" w:cs="Arial" w:eastAsia="Arial" w:hAnsi="Arial"/>
          <w:sz w:val="19"/>
          <w:szCs w:val="19"/>
          <w:color w:val="auto"/>
        </w:rPr>
        <w:t>. The Compliance Officer may, on a case-by-case basis, authorize trading in Company securities outside of an open trading window (but not during special trading blackout periods) due to financial hardship or other hardships, but only in accordance with the procedures set forth in Section V.B.2 below; provided that no hardship exceptions may be authorized with respect to the cooling-off periods set forth in Section VII.</w:t>
      </w:r>
    </w:p>
    <w:p>
      <w:pPr>
        <w:spacing w:after="0" w:line="180" w:lineRule="exact"/>
        <w:rPr>
          <w:rFonts w:ascii="Arial" w:cs="Arial" w:eastAsia="Arial" w:hAnsi="Arial"/>
          <w:sz w:val="19"/>
          <w:szCs w:val="19"/>
          <w:color w:val="auto"/>
        </w:rPr>
      </w:pPr>
    </w:p>
    <w:p>
      <w:pPr>
        <w:ind w:left="940"/>
        <w:spacing w:after="0"/>
        <w:rPr>
          <w:rFonts w:ascii="Arial" w:cs="Arial" w:eastAsia="Arial" w:hAnsi="Arial"/>
          <w:sz w:val="19"/>
          <w:szCs w:val="19"/>
          <w:color w:val="auto"/>
        </w:rPr>
      </w:pPr>
      <w:r>
        <w:rPr>
          <w:rFonts w:ascii="Arial" w:cs="Arial" w:eastAsia="Arial" w:hAnsi="Arial"/>
          <w:sz w:val="19"/>
          <w:szCs w:val="19"/>
          <w:b w:val="1"/>
          <w:bCs w:val="1"/>
          <w:color w:val="auto"/>
        </w:rPr>
        <w:t>B.</w:t>
      </w:r>
      <w:r>
        <w:rPr>
          <w:rFonts w:ascii="Arial" w:cs="Arial" w:eastAsia="Arial" w:hAnsi="Arial"/>
          <w:sz w:val="18"/>
          <w:szCs w:val="18"/>
          <w:b w:val="1"/>
          <w:bCs w:val="1"/>
          <w:color w:val="auto"/>
        </w:rPr>
        <w:t>Procedures for Approving Trading and for Hardship Cases.</w:t>
      </w:r>
    </w:p>
    <w:p>
      <w:pPr>
        <w:spacing w:after="0" w:line="213" w:lineRule="exact"/>
        <w:rPr>
          <w:rFonts w:ascii="Arial" w:cs="Arial" w:eastAsia="Arial" w:hAnsi="Arial"/>
          <w:sz w:val="19"/>
          <w:szCs w:val="19"/>
          <w:color w:val="auto"/>
        </w:rPr>
      </w:pPr>
    </w:p>
    <w:p>
      <w:pPr>
        <w:ind w:left="2360" w:hanging="664"/>
        <w:spacing w:after="0"/>
        <w:tabs>
          <w:tab w:leader="none" w:pos="2360" w:val="left"/>
        </w:tabs>
        <w:numPr>
          <w:ilvl w:val="1"/>
          <w:numId w:val="204"/>
        </w:numPr>
        <w:rPr>
          <w:rFonts w:ascii="Arial" w:cs="Arial" w:eastAsia="Arial" w:hAnsi="Arial"/>
          <w:sz w:val="19"/>
          <w:szCs w:val="19"/>
          <w:color w:val="auto"/>
        </w:rPr>
      </w:pPr>
      <w:r>
        <w:rPr>
          <w:rFonts w:ascii="Arial" w:cs="Arial" w:eastAsia="Arial" w:hAnsi="Arial"/>
          <w:sz w:val="19"/>
          <w:szCs w:val="19"/>
          <w:u w:val="single" w:color="auto"/>
          <w:color w:val="auto"/>
        </w:rPr>
        <w:t>Individual Trades</w:t>
      </w:r>
      <w:r>
        <w:rPr>
          <w:rFonts w:ascii="Arial" w:cs="Arial" w:eastAsia="Arial" w:hAnsi="Arial"/>
          <w:sz w:val="19"/>
          <w:szCs w:val="19"/>
          <w:color w:val="auto"/>
        </w:rPr>
        <w:t>. No Insider may trade in Company securities until:</w:t>
      </w:r>
    </w:p>
    <w:p>
      <w:pPr>
        <w:spacing w:after="0" w:line="227" w:lineRule="exact"/>
        <w:rPr>
          <w:rFonts w:ascii="Arial" w:cs="Arial" w:eastAsia="Arial" w:hAnsi="Arial"/>
          <w:sz w:val="19"/>
          <w:szCs w:val="19"/>
          <w:color w:val="auto"/>
        </w:rPr>
      </w:pPr>
    </w:p>
    <w:p>
      <w:pPr>
        <w:ind w:left="3100" w:hanging="656"/>
        <w:spacing w:after="0" w:line="236" w:lineRule="auto"/>
        <w:tabs>
          <w:tab w:leader="none" w:pos="3100" w:val="left"/>
        </w:tabs>
        <w:numPr>
          <w:ilvl w:val="2"/>
          <w:numId w:val="204"/>
        </w:numPr>
        <w:rPr>
          <w:rFonts w:ascii="Arial" w:cs="Arial" w:eastAsia="Arial" w:hAnsi="Arial"/>
          <w:sz w:val="22"/>
          <w:szCs w:val="22"/>
          <w:color w:val="auto"/>
        </w:rPr>
      </w:pPr>
      <w:r>
        <w:rPr>
          <w:rFonts w:ascii="Arial" w:cs="Arial" w:eastAsia="Arial" w:hAnsi="Arial"/>
          <w:sz w:val="19"/>
          <w:szCs w:val="19"/>
          <w:color w:val="auto"/>
        </w:rPr>
        <w:t>the Insider has notified the Compliance Officer in writing of the amount and nature of the proposed trade(s);</w:t>
      </w:r>
    </w:p>
    <w:p>
      <w:pPr>
        <w:spacing w:after="0" w:line="197" w:lineRule="exact"/>
        <w:rPr>
          <w:rFonts w:ascii="Arial" w:cs="Arial" w:eastAsia="Arial" w:hAnsi="Arial"/>
          <w:sz w:val="22"/>
          <w:szCs w:val="22"/>
          <w:color w:val="auto"/>
        </w:rPr>
      </w:pPr>
    </w:p>
    <w:p>
      <w:pPr>
        <w:jc w:val="both"/>
        <w:ind w:left="3100" w:hanging="656"/>
        <w:spacing w:after="0" w:line="236" w:lineRule="auto"/>
        <w:tabs>
          <w:tab w:leader="none" w:pos="3100" w:val="left"/>
        </w:tabs>
        <w:numPr>
          <w:ilvl w:val="2"/>
          <w:numId w:val="204"/>
        </w:numPr>
        <w:rPr>
          <w:rFonts w:ascii="Arial" w:cs="Arial" w:eastAsia="Arial" w:hAnsi="Arial"/>
          <w:sz w:val="22"/>
          <w:szCs w:val="22"/>
          <w:color w:val="auto"/>
        </w:rPr>
      </w:pPr>
      <w:r>
        <w:rPr>
          <w:rFonts w:ascii="Arial" w:cs="Arial" w:eastAsia="Arial" w:hAnsi="Arial"/>
          <w:sz w:val="19"/>
          <w:szCs w:val="19"/>
          <w:color w:val="auto"/>
        </w:rPr>
        <w:t>the Insider has certified to the Compliance Officer in writing prior to the proposed trade(s) that the Insider is not aware of material nonpublic information regarding the Company; and</w:t>
      </w:r>
    </w:p>
    <w:p>
      <w:pPr>
        <w:spacing w:after="0" w:line="195" w:lineRule="exact"/>
        <w:rPr>
          <w:rFonts w:ascii="Arial" w:cs="Arial" w:eastAsia="Arial" w:hAnsi="Arial"/>
          <w:sz w:val="22"/>
          <w:szCs w:val="22"/>
          <w:color w:val="auto"/>
        </w:rPr>
      </w:pPr>
    </w:p>
    <w:p>
      <w:pPr>
        <w:ind w:left="3200" w:hanging="756"/>
        <w:spacing w:after="0"/>
        <w:tabs>
          <w:tab w:leader="none" w:pos="3200" w:val="left"/>
        </w:tabs>
        <w:numPr>
          <w:ilvl w:val="2"/>
          <w:numId w:val="204"/>
        </w:numPr>
        <w:rPr>
          <w:rFonts w:ascii="Arial" w:cs="Arial" w:eastAsia="Arial" w:hAnsi="Arial"/>
          <w:sz w:val="22"/>
          <w:szCs w:val="22"/>
          <w:color w:val="auto"/>
        </w:rPr>
      </w:pPr>
      <w:r>
        <w:rPr>
          <w:rFonts w:ascii="Arial" w:cs="Arial" w:eastAsia="Arial" w:hAnsi="Arial"/>
          <w:sz w:val="19"/>
          <w:szCs w:val="19"/>
          <w:color w:val="auto"/>
        </w:rPr>
        <w:t>the Compliance Officer has approved the proposed trade(s).</w:t>
      </w:r>
    </w:p>
    <w:p>
      <w:pPr>
        <w:spacing w:after="0" w:line="196" w:lineRule="exact"/>
        <w:rPr>
          <w:sz w:val="20"/>
          <w:szCs w:val="20"/>
          <w:color w:val="auto"/>
        </w:rPr>
      </w:pPr>
    </w:p>
    <w:p>
      <w:pPr>
        <w:jc w:val="both"/>
        <w:ind w:left="2440" w:right="80"/>
        <w:spacing w:after="0" w:line="242" w:lineRule="auto"/>
        <w:rPr>
          <w:sz w:val="20"/>
          <w:szCs w:val="20"/>
          <w:color w:val="auto"/>
        </w:rPr>
      </w:pPr>
      <w:r>
        <w:rPr>
          <w:rFonts w:ascii="Arial" w:cs="Arial" w:eastAsia="Arial" w:hAnsi="Arial"/>
          <w:sz w:val="19"/>
          <w:szCs w:val="19"/>
          <w:color w:val="auto"/>
        </w:rPr>
        <w:t xml:space="preserve">The notice and certification required by this Section V.B.1, and the Compliance Officer’s approval thereof, shall be given using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During the approval period identified in the notice and certification, provided that the facts referred to in Section V.B.1.b remain correct, the Insider may execute the trade set forth in such notice and certification. Once the approval period identified in the notice and certification has expired, a new notice and certification pursuant to this Section V.B.1 must be given for the Insider to trade in Company securities. If approval is denied, the fact of such denial must be kept confidential by the person requesting such approval.</w:t>
      </w:r>
    </w:p>
    <w:p>
      <w:pPr>
        <w:spacing w:after="0" w:line="182" w:lineRule="exact"/>
        <w:rPr>
          <w:sz w:val="20"/>
          <w:szCs w:val="20"/>
          <w:color w:val="auto"/>
        </w:rPr>
      </w:pPr>
    </w:p>
    <w:p>
      <w:pPr>
        <w:jc w:val="both"/>
        <w:ind w:left="2360" w:hanging="664"/>
        <w:spacing w:after="0" w:line="254" w:lineRule="auto"/>
        <w:tabs>
          <w:tab w:leader="none" w:pos="2360"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Hardship Trades</w:t>
      </w:r>
      <w:r>
        <w:rPr>
          <w:rFonts w:ascii="Arial" w:cs="Arial" w:eastAsia="Arial" w:hAnsi="Arial"/>
          <w:sz w:val="19"/>
          <w:szCs w:val="19"/>
          <w:color w:val="auto"/>
        </w:rPr>
        <w:t>. The Compliance Officer may, on a case-by-case basis, authorize trading in Company securities outside of an applicable trading window due to financial hardship or other hardships only after:</w:t>
      </w:r>
    </w:p>
    <w:p>
      <w:pPr>
        <w:spacing w:after="0" w:line="183" w:lineRule="exact"/>
        <w:rPr>
          <w:rFonts w:ascii="Arial" w:cs="Arial" w:eastAsia="Arial" w:hAnsi="Arial"/>
          <w:sz w:val="19"/>
          <w:szCs w:val="19"/>
          <w:color w:val="auto"/>
        </w:rPr>
      </w:pPr>
    </w:p>
    <w:p>
      <w:pPr>
        <w:ind w:left="3100" w:hanging="656"/>
        <w:spacing w:after="0" w:line="236" w:lineRule="auto"/>
        <w:tabs>
          <w:tab w:leader="none" w:pos="3100" w:val="left"/>
        </w:tabs>
        <w:numPr>
          <w:ilvl w:val="1"/>
          <w:numId w:val="205"/>
        </w:numPr>
        <w:rPr>
          <w:rFonts w:ascii="Arial" w:cs="Arial" w:eastAsia="Arial" w:hAnsi="Arial"/>
          <w:sz w:val="22"/>
          <w:szCs w:val="22"/>
          <w:color w:val="auto"/>
        </w:rPr>
      </w:pPr>
      <w:r>
        <w:rPr>
          <w:rFonts w:ascii="Arial" w:cs="Arial" w:eastAsia="Arial" w:hAnsi="Arial"/>
          <w:sz w:val="19"/>
          <w:szCs w:val="19"/>
          <w:color w:val="auto"/>
        </w:rPr>
        <w:t>the Insider has notified the Compliance Officer in writing of the circumstances of the hardship and the amount and nature of the proposed trade(s), and</w:t>
      </w:r>
    </w:p>
    <w:p>
      <w:pPr>
        <w:spacing w:after="0" w:line="197" w:lineRule="exact"/>
        <w:rPr>
          <w:rFonts w:ascii="Arial" w:cs="Arial" w:eastAsia="Arial" w:hAnsi="Arial"/>
          <w:sz w:val="22"/>
          <w:szCs w:val="22"/>
          <w:color w:val="auto"/>
        </w:rPr>
      </w:pPr>
    </w:p>
    <w:p>
      <w:pPr>
        <w:jc w:val="both"/>
        <w:ind w:left="3100" w:hanging="656"/>
        <w:spacing w:after="0" w:line="236" w:lineRule="auto"/>
        <w:tabs>
          <w:tab w:leader="none" w:pos="3100" w:val="left"/>
        </w:tabs>
        <w:numPr>
          <w:ilvl w:val="1"/>
          <w:numId w:val="205"/>
        </w:numPr>
        <w:rPr>
          <w:rFonts w:ascii="Arial" w:cs="Arial" w:eastAsia="Arial" w:hAnsi="Arial"/>
          <w:sz w:val="22"/>
          <w:szCs w:val="22"/>
          <w:color w:val="auto"/>
        </w:rPr>
      </w:pPr>
      <w:r>
        <w:rPr>
          <w:rFonts w:ascii="Arial" w:cs="Arial" w:eastAsia="Arial" w:hAnsi="Arial"/>
          <w:sz w:val="19"/>
          <w:szCs w:val="19"/>
          <w:color w:val="auto"/>
        </w:rPr>
        <w:t>the Insider has certified to the Compliance Officer in writing no earlier than four business days prior to the proposed trade(s) that the Insider is not aware of material nonpublic information concerning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440" w:right="1439" w:bottom="1440" w:gutter="0" w:footer="0" w:header="0"/>
        </w:sectPr>
      </w:pPr>
    </w:p>
    <w:bookmarkStart w:id="276" w:name="page277"/>
    <w:bookmarkEnd w:id="276"/>
    <w:p>
      <w:pPr>
        <w:spacing w:after="0" w:line="334" w:lineRule="exact"/>
        <w:rPr>
          <w:sz w:val="20"/>
          <w:szCs w:val="20"/>
          <w:color w:val="auto"/>
        </w:rPr>
      </w:pPr>
    </w:p>
    <w:p>
      <w:pPr>
        <w:jc w:val="both"/>
        <w:ind w:left="2340" w:hanging="660"/>
        <w:spacing w:after="0" w:line="254" w:lineRule="auto"/>
        <w:tabs>
          <w:tab w:leader="none" w:pos="2340"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Compliance Officer Trades</w:t>
      </w:r>
      <w:r>
        <w:rPr>
          <w:rFonts w:ascii="Arial" w:cs="Arial" w:eastAsia="Arial" w:hAnsi="Arial"/>
          <w:sz w:val="19"/>
          <w:szCs w:val="19"/>
          <w:color w:val="auto"/>
        </w:rPr>
        <w:t>. If the Compliance Officer desires to complete any trades involving Company securities, the Compliance Officer must first obtain the approval of the Chief Executive Officer or the Chief Financial Officer of the Company.</w:t>
      </w:r>
    </w:p>
    <w:p>
      <w:pPr>
        <w:spacing w:after="0" w:line="170" w:lineRule="exact"/>
        <w:rPr>
          <w:rFonts w:ascii="Arial" w:cs="Arial" w:eastAsia="Arial" w:hAnsi="Arial"/>
          <w:sz w:val="19"/>
          <w:szCs w:val="19"/>
          <w:color w:val="auto"/>
        </w:rPr>
      </w:pPr>
    </w:p>
    <w:p>
      <w:pPr>
        <w:jc w:val="both"/>
        <w:ind w:left="2360" w:hanging="664"/>
        <w:spacing w:after="0" w:line="245" w:lineRule="auto"/>
        <w:tabs>
          <w:tab w:leader="none" w:pos="2360" w:val="left"/>
        </w:tabs>
        <w:numPr>
          <w:ilvl w:val="1"/>
          <w:numId w:val="206"/>
        </w:numPr>
        <w:rPr>
          <w:rFonts w:ascii="Arial" w:cs="Arial" w:eastAsia="Arial" w:hAnsi="Arial"/>
          <w:sz w:val="19"/>
          <w:szCs w:val="19"/>
          <w:color w:val="auto"/>
        </w:rPr>
      </w:pPr>
      <w:r>
        <w:rPr>
          <w:rFonts w:ascii="Arial" w:cs="Arial" w:eastAsia="Arial" w:hAnsi="Arial"/>
          <w:sz w:val="19"/>
          <w:szCs w:val="19"/>
          <w:u w:val="single" w:color="auto"/>
          <w:color w:val="auto"/>
        </w:rPr>
        <w:t>No Obligation to Approve Trades</w:t>
      </w:r>
      <w:r>
        <w:rPr>
          <w:rFonts w:ascii="Arial" w:cs="Arial" w:eastAsia="Arial" w:hAnsi="Arial"/>
          <w:sz w:val="19"/>
          <w:szCs w:val="19"/>
          <w:color w:val="auto"/>
        </w:rPr>
        <w:t>. The existence of the foregoing approval procedures does not in any way obligate the Compliance Officer (or, in the case of any trade by the Compliance Officer, the Chief Executive Officer or the Chief Financial Officer of the Company) to approve any trades requested by Insiders, hardship applicants or the Compliance Officer.</w:t>
      </w:r>
    </w:p>
    <w:p>
      <w:pPr>
        <w:spacing w:after="0" w:line="166"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19"/>
          <w:szCs w:val="19"/>
          <w:b w:val="1"/>
          <w:bCs w:val="1"/>
          <w:color w:val="auto"/>
        </w:rPr>
        <w:t>COMPLIANCE OFFICER</w:t>
      </w:r>
    </w:p>
    <w:p>
      <w:pPr>
        <w:spacing w:after="0" w:line="221" w:lineRule="exact"/>
        <w:rPr>
          <w:sz w:val="20"/>
          <w:szCs w:val="20"/>
          <w:color w:val="auto"/>
        </w:rPr>
      </w:pPr>
    </w:p>
    <w:p>
      <w:pPr>
        <w:jc w:val="both"/>
        <w:ind w:left="940" w:right="220"/>
        <w:spacing w:after="0" w:line="254" w:lineRule="auto"/>
        <w:rPr>
          <w:sz w:val="20"/>
          <w:szCs w:val="20"/>
          <w:color w:val="auto"/>
        </w:rPr>
      </w:pPr>
      <w:r>
        <w:rPr>
          <w:rFonts w:ascii="Arial" w:cs="Arial" w:eastAsia="Arial" w:hAnsi="Arial"/>
          <w:sz w:val="19"/>
          <w:szCs w:val="19"/>
          <w:color w:val="auto"/>
        </w:rPr>
        <w:t>The Company has designated its Chief Legal Officer or any Company employee designated by the Chief Legal Officer as the individual responsible for administration of this Policy (the “Compliance Officer”). The duties of the Compliance Officer include the following:</w:t>
      </w:r>
    </w:p>
    <w:p>
      <w:pPr>
        <w:spacing w:after="0" w:line="170" w:lineRule="exact"/>
        <w:rPr>
          <w:sz w:val="20"/>
          <w:szCs w:val="20"/>
          <w:color w:val="auto"/>
        </w:rPr>
      </w:pPr>
    </w:p>
    <w:p>
      <w:pPr>
        <w:ind w:left="1280" w:right="220" w:hanging="333"/>
        <w:spacing w:after="0" w:line="270" w:lineRule="auto"/>
        <w:tabs>
          <w:tab w:leader="none" w:pos="1280" w:val="left"/>
        </w:tabs>
        <w:numPr>
          <w:ilvl w:val="0"/>
          <w:numId w:val="207"/>
        </w:numPr>
        <w:rPr>
          <w:rFonts w:ascii="Arial" w:cs="Arial" w:eastAsia="Arial" w:hAnsi="Arial"/>
          <w:sz w:val="19"/>
          <w:szCs w:val="19"/>
          <w:b w:val="1"/>
          <w:bCs w:val="1"/>
          <w:color w:val="auto"/>
        </w:rPr>
      </w:pPr>
      <w:r>
        <w:rPr>
          <w:rFonts w:ascii="Arial" w:cs="Arial" w:eastAsia="Arial" w:hAnsi="Arial"/>
          <w:sz w:val="19"/>
          <w:szCs w:val="19"/>
          <w:color w:val="auto"/>
        </w:rPr>
        <w:t>Administering this Policy and monitoring and enforcing compliance with all Policy provisions and procedures.</w:t>
      </w:r>
    </w:p>
    <w:p>
      <w:pPr>
        <w:spacing w:after="0" w:line="156" w:lineRule="exact"/>
        <w:rPr>
          <w:rFonts w:ascii="Arial" w:cs="Arial" w:eastAsia="Arial" w:hAnsi="Arial"/>
          <w:sz w:val="19"/>
          <w:szCs w:val="19"/>
          <w:b w:val="1"/>
          <w:bCs w:val="1"/>
          <w:color w:val="auto"/>
        </w:rPr>
      </w:pPr>
    </w:p>
    <w:p>
      <w:pPr>
        <w:ind w:left="1280" w:hanging="333"/>
        <w:spacing w:after="0"/>
        <w:tabs>
          <w:tab w:leader="none" w:pos="1280" w:val="left"/>
        </w:tabs>
        <w:numPr>
          <w:ilvl w:val="0"/>
          <w:numId w:val="207"/>
        </w:numPr>
        <w:rPr>
          <w:rFonts w:ascii="Arial" w:cs="Arial" w:eastAsia="Arial" w:hAnsi="Arial"/>
          <w:sz w:val="19"/>
          <w:szCs w:val="19"/>
          <w:b w:val="1"/>
          <w:bCs w:val="1"/>
          <w:color w:val="auto"/>
        </w:rPr>
      </w:pPr>
      <w:r>
        <w:rPr>
          <w:rFonts w:ascii="Arial" w:cs="Arial" w:eastAsia="Arial" w:hAnsi="Arial"/>
          <w:sz w:val="19"/>
          <w:szCs w:val="19"/>
          <w:color w:val="auto"/>
        </w:rPr>
        <w:t>Reviewing and either approving or denying all proposed trades by Insiders.</w:t>
      </w:r>
    </w:p>
    <w:p>
      <w:pPr>
        <w:spacing w:after="0" w:line="213" w:lineRule="exact"/>
        <w:rPr>
          <w:rFonts w:ascii="Arial" w:cs="Arial" w:eastAsia="Arial" w:hAnsi="Arial"/>
          <w:sz w:val="19"/>
          <w:szCs w:val="19"/>
          <w:b w:val="1"/>
          <w:bCs w:val="1"/>
          <w:color w:val="auto"/>
        </w:rPr>
      </w:pPr>
    </w:p>
    <w:p>
      <w:pPr>
        <w:ind w:left="1280" w:right="220" w:hanging="333"/>
        <w:spacing w:after="0" w:line="270" w:lineRule="auto"/>
        <w:tabs>
          <w:tab w:leader="none" w:pos="1280" w:val="left"/>
        </w:tabs>
        <w:numPr>
          <w:ilvl w:val="0"/>
          <w:numId w:val="207"/>
        </w:numPr>
        <w:rPr>
          <w:rFonts w:ascii="Arial" w:cs="Arial" w:eastAsia="Arial" w:hAnsi="Arial"/>
          <w:sz w:val="19"/>
          <w:szCs w:val="19"/>
          <w:b w:val="1"/>
          <w:bCs w:val="1"/>
          <w:color w:val="auto"/>
        </w:rPr>
      </w:pPr>
      <w:r>
        <w:rPr>
          <w:rFonts w:ascii="Arial" w:cs="Arial" w:eastAsia="Arial" w:hAnsi="Arial"/>
          <w:sz w:val="19"/>
          <w:szCs w:val="19"/>
          <w:color w:val="auto"/>
        </w:rPr>
        <w:t>Determining special trading blackout periods during which Insiders may not trade in Company securities.</w:t>
      </w:r>
    </w:p>
    <w:p>
      <w:pPr>
        <w:spacing w:after="0" w:line="156" w:lineRule="exact"/>
        <w:rPr>
          <w:rFonts w:ascii="Arial" w:cs="Arial" w:eastAsia="Arial" w:hAnsi="Arial"/>
          <w:sz w:val="19"/>
          <w:szCs w:val="19"/>
          <w:b w:val="1"/>
          <w:bCs w:val="1"/>
          <w:color w:val="auto"/>
        </w:rPr>
      </w:pPr>
    </w:p>
    <w:p>
      <w:pPr>
        <w:ind w:left="1280" w:hanging="333"/>
        <w:spacing w:after="0"/>
        <w:tabs>
          <w:tab w:leader="none" w:pos="1280" w:val="left"/>
        </w:tabs>
        <w:numPr>
          <w:ilvl w:val="0"/>
          <w:numId w:val="207"/>
        </w:numPr>
        <w:rPr>
          <w:rFonts w:ascii="Arial" w:cs="Arial" w:eastAsia="Arial" w:hAnsi="Arial"/>
          <w:sz w:val="19"/>
          <w:szCs w:val="19"/>
          <w:b w:val="1"/>
          <w:bCs w:val="1"/>
          <w:color w:val="auto"/>
        </w:rPr>
      </w:pPr>
      <w:r>
        <w:rPr>
          <w:rFonts w:ascii="Arial" w:cs="Arial" w:eastAsia="Arial" w:hAnsi="Arial"/>
          <w:sz w:val="19"/>
          <w:szCs w:val="19"/>
          <w:color w:val="auto"/>
        </w:rPr>
        <w:t>Providing copies of this Policy and other appropriate materials to all new Insiders.</w:t>
      </w:r>
    </w:p>
    <w:p>
      <w:pPr>
        <w:spacing w:after="0" w:line="213" w:lineRule="exact"/>
        <w:rPr>
          <w:rFonts w:ascii="Arial" w:cs="Arial" w:eastAsia="Arial" w:hAnsi="Arial"/>
          <w:sz w:val="19"/>
          <w:szCs w:val="19"/>
          <w:b w:val="1"/>
          <w:bCs w:val="1"/>
          <w:color w:val="auto"/>
        </w:rPr>
      </w:pPr>
    </w:p>
    <w:p>
      <w:pPr>
        <w:ind w:left="1280" w:right="20" w:hanging="333"/>
        <w:spacing w:after="0" w:line="270" w:lineRule="auto"/>
        <w:tabs>
          <w:tab w:leader="none" w:pos="1280" w:val="left"/>
        </w:tabs>
        <w:numPr>
          <w:ilvl w:val="0"/>
          <w:numId w:val="207"/>
        </w:numPr>
        <w:rPr>
          <w:rFonts w:ascii="Arial" w:cs="Arial" w:eastAsia="Arial" w:hAnsi="Arial"/>
          <w:sz w:val="19"/>
          <w:szCs w:val="19"/>
          <w:b w:val="1"/>
          <w:bCs w:val="1"/>
          <w:color w:val="auto"/>
        </w:rPr>
      </w:pPr>
      <w:r>
        <w:rPr>
          <w:rFonts w:ascii="Arial" w:cs="Arial" w:eastAsia="Arial" w:hAnsi="Arial"/>
          <w:sz w:val="19"/>
          <w:szCs w:val="19"/>
          <w:color w:val="auto"/>
        </w:rPr>
        <w:t>Administering, monitoring and enforcing compliance with all federal and state insider trading laws and regulations.</w:t>
      </w:r>
    </w:p>
    <w:p>
      <w:pPr>
        <w:spacing w:after="0" w:line="156" w:lineRule="exact"/>
        <w:rPr>
          <w:rFonts w:ascii="Arial" w:cs="Arial" w:eastAsia="Arial" w:hAnsi="Arial"/>
          <w:sz w:val="19"/>
          <w:szCs w:val="19"/>
          <w:b w:val="1"/>
          <w:bCs w:val="1"/>
          <w:color w:val="auto"/>
        </w:rPr>
      </w:pPr>
    </w:p>
    <w:p>
      <w:pPr>
        <w:ind w:left="1280" w:right="20" w:hanging="333"/>
        <w:spacing w:after="0" w:line="270" w:lineRule="auto"/>
        <w:tabs>
          <w:tab w:leader="none" w:pos="1280" w:val="left"/>
        </w:tabs>
        <w:numPr>
          <w:ilvl w:val="0"/>
          <w:numId w:val="207"/>
        </w:numPr>
        <w:rPr>
          <w:rFonts w:ascii="Arial" w:cs="Arial" w:eastAsia="Arial" w:hAnsi="Arial"/>
          <w:sz w:val="19"/>
          <w:szCs w:val="19"/>
          <w:b w:val="1"/>
          <w:bCs w:val="1"/>
          <w:color w:val="auto"/>
        </w:rPr>
      </w:pPr>
      <w:r>
        <w:rPr>
          <w:rFonts w:ascii="Arial" w:cs="Arial" w:eastAsia="Arial" w:hAnsi="Arial"/>
          <w:sz w:val="19"/>
          <w:szCs w:val="19"/>
          <w:color w:val="auto"/>
        </w:rPr>
        <w:t>Revising this Policy as necessary to reflect changes in federal or state insider trading laws and regulations or as otherwise deemed necessary or appropriate.</w:t>
      </w:r>
    </w:p>
    <w:p>
      <w:pPr>
        <w:spacing w:after="0" w:line="141" w:lineRule="exact"/>
        <w:rPr>
          <w:sz w:val="20"/>
          <w:szCs w:val="20"/>
          <w:color w:val="auto"/>
        </w:rPr>
      </w:pPr>
    </w:p>
    <w:p>
      <w:pPr>
        <w:ind w:left="200"/>
        <w:spacing w:after="0"/>
        <w:tabs>
          <w:tab w:leader="none" w:pos="860" w:val="left"/>
        </w:tabs>
        <w:rPr>
          <w:sz w:val="20"/>
          <w:szCs w:val="20"/>
          <w:color w:val="auto"/>
        </w:rPr>
      </w:pPr>
      <w:r>
        <w:rPr>
          <w:rFonts w:ascii="Arial" w:cs="Arial" w:eastAsia="Arial" w:hAnsi="Arial"/>
          <w:sz w:val="22"/>
          <w:szCs w:val="22"/>
          <w:b w:val="1"/>
          <w:bCs w:val="1"/>
          <w:color w:val="auto"/>
        </w:rPr>
        <w:t>VII.</w:t>
      </w:r>
      <w:r>
        <w:rPr>
          <w:sz w:val="20"/>
          <w:szCs w:val="20"/>
          <w:color w:val="auto"/>
        </w:rPr>
        <w:tab/>
      </w:r>
      <w:r>
        <w:rPr>
          <w:rFonts w:ascii="Arial" w:cs="Arial" w:eastAsia="Arial" w:hAnsi="Arial"/>
          <w:sz w:val="19"/>
          <w:szCs w:val="19"/>
          <w:b w:val="1"/>
          <w:bCs w:val="1"/>
          <w:color w:val="auto"/>
        </w:rPr>
        <w:t>RULE 10b5-1 TRADING PLANS</w:t>
      </w:r>
    </w:p>
    <w:p>
      <w:pPr>
        <w:spacing w:after="0" w:line="221" w:lineRule="exact"/>
        <w:rPr>
          <w:sz w:val="20"/>
          <w:szCs w:val="20"/>
          <w:color w:val="auto"/>
        </w:rPr>
      </w:pPr>
    </w:p>
    <w:p>
      <w:pPr>
        <w:ind w:left="1700" w:hanging="753"/>
        <w:spacing w:after="0"/>
        <w:tabs>
          <w:tab w:leader="none" w:pos="1700" w:val="left"/>
        </w:tabs>
        <w:numPr>
          <w:ilvl w:val="0"/>
          <w:numId w:val="208"/>
        </w:numPr>
        <w:rPr>
          <w:rFonts w:ascii="Arial" w:cs="Arial" w:eastAsia="Arial" w:hAnsi="Arial"/>
          <w:sz w:val="19"/>
          <w:szCs w:val="19"/>
          <w:b w:val="1"/>
          <w:bCs w:val="1"/>
          <w:color w:val="auto"/>
        </w:rPr>
      </w:pPr>
      <w:r>
        <w:rPr>
          <w:rFonts w:ascii="Arial" w:cs="Arial" w:eastAsia="Arial" w:hAnsi="Arial"/>
          <w:sz w:val="19"/>
          <w:szCs w:val="19"/>
          <w:b w:val="1"/>
          <w:bCs w:val="1"/>
          <w:color w:val="auto"/>
        </w:rPr>
        <w:t>General Information.</w:t>
      </w:r>
    </w:p>
    <w:p>
      <w:pPr>
        <w:spacing w:after="0" w:line="213" w:lineRule="exact"/>
        <w:rPr>
          <w:rFonts w:ascii="Arial" w:cs="Arial" w:eastAsia="Arial" w:hAnsi="Arial"/>
          <w:sz w:val="19"/>
          <w:szCs w:val="19"/>
          <w:b w:val="1"/>
          <w:bCs w:val="1"/>
          <w:color w:val="auto"/>
        </w:rPr>
      </w:pPr>
    </w:p>
    <w:p>
      <w:pPr>
        <w:jc w:val="both"/>
        <w:ind w:left="1700"/>
        <w:spacing w:after="0" w:line="243" w:lineRule="auto"/>
        <w:rPr>
          <w:rFonts w:ascii="Arial" w:cs="Arial" w:eastAsia="Arial" w:hAnsi="Arial"/>
          <w:sz w:val="19"/>
          <w:szCs w:val="19"/>
          <w:b w:val="1"/>
          <w:bCs w:val="1"/>
          <w:color w:val="auto"/>
        </w:rPr>
      </w:pPr>
      <w:r>
        <w:rPr>
          <w:rFonts w:ascii="Arial" w:cs="Arial" w:eastAsia="Arial" w:hAnsi="Arial"/>
          <w:sz w:val="19"/>
          <w:szCs w:val="19"/>
          <w:color w:val="auto"/>
        </w:rPr>
        <w:t>Under Rule 10b5-1 of the Securities Exchange Act of 1934, as amended, an individual has an affirmative defense against an allegation of insider trading if the individual demonstrates that the purchase, sale or trade in question took place pursuant to a binding contract, specific instruction or written plan that was put into place before the individual became aware of material nonpublic information. Such contracts, irrevocable instructions and plans are commonly referred to as Rule 10b5-1 plans and must satisfy several conditions set forth in Rule 10b5-1.</w:t>
      </w:r>
    </w:p>
    <w:p>
      <w:pPr>
        <w:spacing w:after="0" w:line="184" w:lineRule="exact"/>
        <w:rPr>
          <w:rFonts w:ascii="Arial" w:cs="Arial" w:eastAsia="Arial" w:hAnsi="Arial"/>
          <w:sz w:val="19"/>
          <w:szCs w:val="19"/>
          <w:b w:val="1"/>
          <w:bCs w:val="1"/>
          <w:color w:val="auto"/>
        </w:rPr>
      </w:pPr>
    </w:p>
    <w:p>
      <w:pPr>
        <w:jc w:val="both"/>
        <w:ind w:left="1700"/>
        <w:spacing w:after="0" w:line="243" w:lineRule="auto"/>
        <w:rPr>
          <w:rFonts w:ascii="Arial" w:cs="Arial" w:eastAsia="Arial" w:hAnsi="Arial"/>
          <w:sz w:val="19"/>
          <w:szCs w:val="19"/>
          <w:b w:val="1"/>
          <w:bCs w:val="1"/>
          <w:color w:val="auto"/>
        </w:rPr>
      </w:pPr>
      <w:r>
        <w:rPr>
          <w:rFonts w:ascii="Arial" w:cs="Arial" w:eastAsia="Arial" w:hAnsi="Arial"/>
          <w:sz w:val="19"/>
          <w:szCs w:val="19"/>
          <w:color w:val="auto"/>
        </w:rPr>
        <w:t>Rule 10b5-1 plans have the obvious advantage of protecting against insider trading liability. However, they also require advance commitments regarding the amounts, prices and timing of purchases or sales of Company securities and thus limit flexibility and discretion. In addition, once a Rule 10b5-1 plan has been adopted, it is generally not permissible to amend or modify such plan without complying with new conditions and timing limitations set forth in Rule 10b5-1. Accordingly, while some individuals may find Rule 10b5-1 plans attractive, they may not be suitable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440" w:right="1439" w:bottom="1440" w:gutter="0" w:footer="0" w:header="0"/>
        </w:sectPr>
      </w:pPr>
    </w:p>
    <w:bookmarkStart w:id="277" w:name="page278"/>
    <w:bookmarkEnd w:id="277"/>
    <w:p>
      <w:pPr>
        <w:spacing w:after="0" w:line="118"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for all Insiders.</w:t>
      </w:r>
    </w:p>
    <w:p>
      <w:pPr>
        <w:spacing w:after="0" w:line="214" w:lineRule="exact"/>
        <w:rPr>
          <w:sz w:val="20"/>
          <w:szCs w:val="20"/>
          <w:color w:val="auto"/>
        </w:rPr>
      </w:pPr>
    </w:p>
    <w:p>
      <w:pPr>
        <w:ind w:left="1700" w:hanging="753"/>
        <w:spacing w:after="0"/>
        <w:tabs>
          <w:tab w:leader="none" w:pos="1700" w:val="left"/>
        </w:tabs>
        <w:numPr>
          <w:ilvl w:val="0"/>
          <w:numId w:val="209"/>
        </w:numPr>
        <w:rPr>
          <w:rFonts w:ascii="Arial" w:cs="Arial" w:eastAsia="Arial" w:hAnsi="Arial"/>
          <w:sz w:val="19"/>
          <w:szCs w:val="19"/>
          <w:b w:val="1"/>
          <w:bCs w:val="1"/>
          <w:color w:val="auto"/>
        </w:rPr>
      </w:pPr>
      <w:r>
        <w:rPr>
          <w:rFonts w:ascii="Arial" w:cs="Arial" w:eastAsia="Arial" w:hAnsi="Arial"/>
          <w:sz w:val="19"/>
          <w:szCs w:val="19"/>
          <w:b w:val="1"/>
          <w:bCs w:val="1"/>
          <w:color w:val="auto"/>
        </w:rPr>
        <w:t>Specific Requirements.</w:t>
      </w:r>
    </w:p>
    <w:p>
      <w:pPr>
        <w:spacing w:after="0" w:line="213" w:lineRule="exact"/>
        <w:rPr>
          <w:rFonts w:ascii="Arial" w:cs="Arial" w:eastAsia="Arial" w:hAnsi="Arial"/>
          <w:sz w:val="19"/>
          <w:szCs w:val="19"/>
          <w:b w:val="1"/>
          <w:bCs w:val="1"/>
          <w:color w:val="auto"/>
        </w:rPr>
      </w:pPr>
    </w:p>
    <w:p>
      <w:pPr>
        <w:jc w:val="both"/>
        <w:ind w:left="2360" w:right="880" w:hanging="664"/>
        <w:spacing w:after="0" w:line="245" w:lineRule="auto"/>
        <w:tabs>
          <w:tab w:leader="none" w:pos="2360" w:val="left"/>
        </w:tabs>
        <w:numPr>
          <w:ilvl w:val="1"/>
          <w:numId w:val="209"/>
        </w:numPr>
        <w:rPr>
          <w:rFonts w:ascii="Arial" w:cs="Arial" w:eastAsia="Arial" w:hAnsi="Arial"/>
          <w:sz w:val="19"/>
          <w:szCs w:val="19"/>
          <w:color w:val="auto"/>
        </w:rPr>
      </w:pPr>
      <w:r>
        <w:rPr>
          <w:rFonts w:ascii="Arial" w:cs="Arial" w:eastAsia="Arial" w:hAnsi="Arial"/>
          <w:sz w:val="19"/>
          <w:szCs w:val="19"/>
          <w:u w:val="single" w:color="auto"/>
          <w:color w:val="auto"/>
        </w:rPr>
        <w:t>Pre-Approval</w:t>
      </w:r>
      <w:r>
        <w:rPr>
          <w:rFonts w:ascii="Arial" w:cs="Arial" w:eastAsia="Arial" w:hAnsi="Arial"/>
          <w:sz w:val="19"/>
          <w:szCs w:val="19"/>
          <w:color w:val="auto"/>
        </w:rPr>
        <w:t>. For a Rule 10b5-1 plan to serve as an adequate defense against an allegation of insider trading, a number of legal requirements must be satisfied. Accordingly, anyone wishing to establish a Rule 10b5-1 plan must first receive approval from the Compliance Officer. Insiders wishing to establish a Rule 10b5-1 plan must also satisfy the notification and certification requirements set forth in Section V.B.1 above.</w:t>
      </w:r>
    </w:p>
    <w:p>
      <w:pPr>
        <w:spacing w:after="0" w:line="180" w:lineRule="exact"/>
        <w:rPr>
          <w:rFonts w:ascii="Arial" w:cs="Arial" w:eastAsia="Arial" w:hAnsi="Arial"/>
          <w:sz w:val="19"/>
          <w:szCs w:val="19"/>
          <w:color w:val="auto"/>
        </w:rPr>
      </w:pPr>
    </w:p>
    <w:p>
      <w:pPr>
        <w:jc w:val="both"/>
        <w:ind w:left="2360" w:right="880" w:hanging="664"/>
        <w:spacing w:after="0" w:line="248" w:lineRule="auto"/>
        <w:tabs>
          <w:tab w:leader="none" w:pos="2360" w:val="left"/>
        </w:tabs>
        <w:numPr>
          <w:ilvl w:val="1"/>
          <w:numId w:val="209"/>
        </w:numPr>
        <w:rPr>
          <w:rFonts w:ascii="Arial" w:cs="Arial" w:eastAsia="Arial" w:hAnsi="Arial"/>
          <w:sz w:val="19"/>
          <w:szCs w:val="19"/>
          <w:color w:val="auto"/>
        </w:rPr>
      </w:pPr>
      <w:r>
        <w:rPr>
          <w:rFonts w:ascii="Arial" w:cs="Arial" w:eastAsia="Arial" w:hAnsi="Arial"/>
          <w:sz w:val="19"/>
          <w:szCs w:val="19"/>
          <w:u w:val="single" w:color="auto"/>
          <w:color w:val="auto"/>
        </w:rPr>
        <w:t>Material Nonpublic Information and Special Blackouts</w:t>
      </w:r>
      <w:r>
        <w:rPr>
          <w:rFonts w:ascii="Arial" w:cs="Arial" w:eastAsia="Arial" w:hAnsi="Arial"/>
          <w:sz w:val="19"/>
          <w:szCs w:val="19"/>
          <w:color w:val="auto"/>
        </w:rPr>
        <w:t>. An Insider desiring to enter into a Rule 10b5-1 plan must enter into the plan at a time when the Insider is not aware of any material nonpublic information about the Company or otherwise subject to a special trading blackout period.</w:t>
      </w:r>
    </w:p>
    <w:p>
      <w:pPr>
        <w:spacing w:after="0" w:line="176" w:lineRule="exact"/>
        <w:rPr>
          <w:rFonts w:ascii="Arial" w:cs="Arial" w:eastAsia="Arial" w:hAnsi="Arial"/>
          <w:sz w:val="19"/>
          <w:szCs w:val="19"/>
          <w:color w:val="auto"/>
        </w:rPr>
      </w:pPr>
    </w:p>
    <w:p>
      <w:pPr>
        <w:ind w:left="2360" w:right="880" w:hanging="664"/>
        <w:spacing w:after="0" w:line="270" w:lineRule="auto"/>
        <w:tabs>
          <w:tab w:leader="none" w:pos="2360" w:val="left"/>
        </w:tabs>
        <w:numPr>
          <w:ilvl w:val="1"/>
          <w:numId w:val="209"/>
        </w:numPr>
        <w:rPr>
          <w:rFonts w:ascii="Arial" w:cs="Arial" w:eastAsia="Arial" w:hAnsi="Arial"/>
          <w:sz w:val="19"/>
          <w:szCs w:val="19"/>
          <w:color w:val="auto"/>
        </w:rPr>
      </w:pPr>
      <w:r>
        <w:rPr>
          <w:rFonts w:ascii="Arial" w:cs="Arial" w:eastAsia="Arial" w:hAnsi="Arial"/>
          <w:sz w:val="19"/>
          <w:szCs w:val="19"/>
          <w:u w:val="single" w:color="auto"/>
          <w:color w:val="auto"/>
        </w:rPr>
        <w:t>Trading Window</w:t>
      </w:r>
      <w:r>
        <w:rPr>
          <w:rFonts w:ascii="Arial" w:cs="Arial" w:eastAsia="Arial" w:hAnsi="Arial"/>
          <w:sz w:val="19"/>
          <w:szCs w:val="19"/>
          <w:color w:val="auto"/>
        </w:rPr>
        <w:t>. Insiders may establish a Rule 10b5-1 plan only when the Company’s trading window is open.</w:t>
      </w:r>
    </w:p>
    <w:p>
      <w:pPr>
        <w:spacing w:after="0" w:line="156" w:lineRule="exact"/>
        <w:rPr>
          <w:rFonts w:ascii="Arial" w:cs="Arial" w:eastAsia="Arial" w:hAnsi="Arial"/>
          <w:sz w:val="19"/>
          <w:szCs w:val="19"/>
          <w:color w:val="auto"/>
        </w:rPr>
      </w:pPr>
    </w:p>
    <w:p>
      <w:pPr>
        <w:jc w:val="both"/>
        <w:ind w:left="2360" w:right="880" w:hanging="664"/>
        <w:spacing w:after="0" w:line="243" w:lineRule="auto"/>
        <w:tabs>
          <w:tab w:leader="none" w:pos="2360" w:val="left"/>
        </w:tabs>
        <w:numPr>
          <w:ilvl w:val="1"/>
          <w:numId w:val="209"/>
        </w:numPr>
        <w:rPr>
          <w:rFonts w:ascii="Arial" w:cs="Arial" w:eastAsia="Arial" w:hAnsi="Arial"/>
          <w:sz w:val="19"/>
          <w:szCs w:val="19"/>
          <w:color w:val="auto"/>
        </w:rPr>
      </w:pPr>
      <w:r>
        <w:rPr>
          <w:rFonts w:ascii="Arial" w:cs="Arial" w:eastAsia="Arial" w:hAnsi="Arial"/>
          <w:sz w:val="19"/>
          <w:szCs w:val="19"/>
          <w:u w:val="single" w:color="auto"/>
          <w:color w:val="auto"/>
        </w:rPr>
        <w:t>Limitations on Number of Rule 10b5-1 Plans</w:t>
      </w:r>
      <w:r>
        <w:rPr>
          <w:rFonts w:ascii="Arial" w:cs="Arial" w:eastAsia="Arial" w:hAnsi="Arial"/>
          <w:sz w:val="19"/>
          <w:szCs w:val="19"/>
          <w:color w:val="auto"/>
        </w:rPr>
        <w:t>. An individual may not establish overlapping Rule 10b5-1 plans and must limit the use of single-trade plans (i.e</w:t>
      </w:r>
      <w:r>
        <w:rPr>
          <w:rFonts w:ascii="Arial" w:cs="Arial" w:eastAsia="Arial" w:hAnsi="Arial"/>
          <w:sz w:val="19"/>
          <w:szCs w:val="19"/>
          <w:i w:val="1"/>
          <w:iCs w:val="1"/>
          <w:color w:val="auto"/>
        </w:rPr>
        <w:t>.</w:t>
      </w:r>
      <w:r>
        <w:rPr>
          <w:rFonts w:ascii="Arial" w:cs="Arial" w:eastAsia="Arial" w:hAnsi="Arial"/>
          <w:sz w:val="19"/>
          <w:szCs w:val="19"/>
          <w:color w:val="auto"/>
        </w:rPr>
        <w:t>, a plan covering a single trading event) to one</w:t>
      </w:r>
    </w:p>
    <w:p>
      <w:pPr>
        <w:spacing w:after="0" w:line="2" w:lineRule="exact"/>
        <w:rPr>
          <w:rFonts w:ascii="Arial" w:cs="Arial" w:eastAsia="Arial" w:hAnsi="Arial"/>
          <w:sz w:val="19"/>
          <w:szCs w:val="19"/>
          <w:color w:val="auto"/>
        </w:rPr>
      </w:pPr>
    </w:p>
    <w:p>
      <w:pPr>
        <w:ind w:left="2440"/>
        <w:spacing w:after="0" w:line="251" w:lineRule="auto"/>
        <w:rPr>
          <w:rFonts w:ascii="Arial" w:cs="Arial" w:eastAsia="Arial" w:hAnsi="Arial"/>
          <w:sz w:val="19"/>
          <w:szCs w:val="19"/>
          <w:color w:val="auto"/>
        </w:rPr>
      </w:pPr>
      <w:r>
        <w:rPr>
          <w:rFonts w:ascii="Arial" w:cs="Arial" w:eastAsia="Arial" w:hAnsi="Arial"/>
          <w:sz w:val="19"/>
          <w:szCs w:val="19"/>
          <w:color w:val="auto"/>
        </w:rPr>
        <w:t>during any consecutive 12-month period, in each case subject to the accommodations set forth in Rule 10b5-1.</w:t>
      </w:r>
    </w:p>
    <w:p>
      <w:pPr>
        <w:spacing w:after="0" w:line="172" w:lineRule="exact"/>
        <w:rPr>
          <w:rFonts w:ascii="Arial" w:cs="Arial" w:eastAsia="Arial" w:hAnsi="Arial"/>
          <w:sz w:val="19"/>
          <w:szCs w:val="19"/>
          <w:color w:val="auto"/>
        </w:rPr>
      </w:pPr>
    </w:p>
    <w:p>
      <w:pPr>
        <w:ind w:left="2440" w:hanging="744"/>
        <w:spacing w:after="0"/>
        <w:tabs>
          <w:tab w:leader="none" w:pos="2440" w:val="left"/>
        </w:tabs>
        <w:numPr>
          <w:ilvl w:val="1"/>
          <w:numId w:val="209"/>
        </w:numPr>
        <w:rPr>
          <w:rFonts w:ascii="Arial" w:cs="Arial" w:eastAsia="Arial" w:hAnsi="Arial"/>
          <w:sz w:val="19"/>
          <w:szCs w:val="19"/>
          <w:color w:val="auto"/>
        </w:rPr>
      </w:pPr>
      <w:r>
        <w:rPr>
          <w:rFonts w:ascii="Arial" w:cs="Arial" w:eastAsia="Arial" w:hAnsi="Arial"/>
          <w:sz w:val="19"/>
          <w:szCs w:val="19"/>
          <w:u w:val="single" w:color="auto"/>
          <w:color w:val="auto"/>
        </w:rPr>
        <w:t>Cooling-Off Periods</w:t>
      </w:r>
      <w:r>
        <w:rPr>
          <w:rFonts w:ascii="Arial" w:cs="Arial" w:eastAsia="Arial" w:hAnsi="Arial"/>
          <w:sz w:val="19"/>
          <w:szCs w:val="19"/>
          <w:color w:val="auto"/>
        </w:rPr>
        <w:t>.</w:t>
      </w:r>
    </w:p>
    <w:p>
      <w:pPr>
        <w:spacing w:after="0" w:line="227" w:lineRule="exact"/>
        <w:rPr>
          <w:rFonts w:ascii="Arial" w:cs="Arial" w:eastAsia="Arial" w:hAnsi="Arial"/>
          <w:sz w:val="19"/>
          <w:szCs w:val="19"/>
          <w:color w:val="auto"/>
        </w:rPr>
      </w:pPr>
    </w:p>
    <w:p>
      <w:pPr>
        <w:jc w:val="both"/>
        <w:ind w:left="3100" w:right="940" w:hanging="656"/>
        <w:spacing w:after="0" w:line="233" w:lineRule="auto"/>
        <w:tabs>
          <w:tab w:leader="none" w:pos="3100" w:val="left"/>
        </w:tabs>
        <w:numPr>
          <w:ilvl w:val="2"/>
          <w:numId w:val="209"/>
        </w:numPr>
        <w:rPr>
          <w:rFonts w:ascii="Arial" w:cs="Arial" w:eastAsia="Arial" w:hAnsi="Arial"/>
          <w:sz w:val="22"/>
          <w:szCs w:val="22"/>
          <w:color w:val="auto"/>
        </w:rPr>
      </w:pPr>
      <w:r>
        <w:rPr>
          <w:rFonts w:ascii="Arial" w:cs="Arial" w:eastAsia="Arial" w:hAnsi="Arial"/>
          <w:sz w:val="19"/>
          <w:szCs w:val="19"/>
          <w:color w:val="auto"/>
        </w:rPr>
        <w:t>Directors and officers who are required to file Section 16 transaction reports with the SEC must observe a cooling-off period between the date a Rule 10b5-1 plan is adopted or modified and the date of the first transaction under the plan following such adoption or modification equal to the later of (i) 90 days and (ii) 2 business days following the disclosure in Forms</w:t>
      </w:r>
    </w:p>
    <w:p>
      <w:pPr>
        <w:spacing w:after="0" w:line="3" w:lineRule="exact"/>
        <w:rPr>
          <w:rFonts w:ascii="Arial" w:cs="Arial" w:eastAsia="Arial" w:hAnsi="Arial"/>
          <w:sz w:val="22"/>
          <w:szCs w:val="22"/>
          <w:color w:val="auto"/>
        </w:rPr>
      </w:pPr>
    </w:p>
    <w:p>
      <w:pPr>
        <w:jc w:val="both"/>
        <w:ind w:left="3180" w:right="920" w:firstLine="110"/>
        <w:spacing w:after="0" w:line="244" w:lineRule="auto"/>
        <w:rPr>
          <w:rFonts w:ascii="Arial" w:cs="Arial" w:eastAsia="Arial" w:hAnsi="Arial"/>
          <w:sz w:val="22"/>
          <w:szCs w:val="22"/>
          <w:color w:val="auto"/>
        </w:rPr>
      </w:pPr>
      <w:r>
        <w:rPr>
          <w:rFonts w:ascii="Arial" w:cs="Arial" w:eastAsia="Arial" w:hAnsi="Arial"/>
          <w:sz w:val="19"/>
          <w:szCs w:val="19"/>
          <w:color w:val="auto"/>
        </w:rPr>
        <w:t>10-K or 10-Q of the Company’s financial results for the fiscal quarter in which the plan was adopted or modified (but not to exceed 120 days following plan adoption or modification).</w:t>
      </w:r>
    </w:p>
    <w:p>
      <w:pPr>
        <w:spacing w:after="0" w:line="193" w:lineRule="exact"/>
        <w:rPr>
          <w:rFonts w:ascii="Arial" w:cs="Arial" w:eastAsia="Arial" w:hAnsi="Arial"/>
          <w:sz w:val="22"/>
          <w:szCs w:val="22"/>
          <w:color w:val="auto"/>
        </w:rPr>
      </w:pPr>
    </w:p>
    <w:p>
      <w:pPr>
        <w:jc w:val="both"/>
        <w:ind w:left="3080" w:right="1000" w:hanging="636"/>
        <w:spacing w:after="0" w:line="236" w:lineRule="auto"/>
        <w:tabs>
          <w:tab w:leader="none" w:pos="3080" w:val="left"/>
        </w:tabs>
        <w:numPr>
          <w:ilvl w:val="2"/>
          <w:numId w:val="209"/>
        </w:numPr>
        <w:rPr>
          <w:rFonts w:ascii="Arial" w:cs="Arial" w:eastAsia="Arial" w:hAnsi="Arial"/>
          <w:sz w:val="22"/>
          <w:szCs w:val="22"/>
          <w:color w:val="auto"/>
        </w:rPr>
      </w:pPr>
      <w:r>
        <w:rPr>
          <w:rFonts w:ascii="Arial" w:cs="Arial" w:eastAsia="Arial" w:hAnsi="Arial"/>
          <w:sz w:val="19"/>
          <w:szCs w:val="19"/>
          <w:color w:val="auto"/>
        </w:rPr>
        <w:t>All other Insiders who are not subject to Section VII.B.5.a must observe a cooling-off period between the date a Rule 10b5-1 plan is adopted or modified and the date of the first transaction under the plan following such adoption or modification equal to at least 30 days.</w:t>
      </w:r>
    </w:p>
    <w:p>
      <w:pPr>
        <w:spacing w:after="0" w:line="172"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22"/>
          <w:szCs w:val="22"/>
          <w:b w:val="1"/>
          <w:bCs w:val="1"/>
          <w:color w:val="auto"/>
        </w:rPr>
        <w:t>VIII.</w:t>
      </w:r>
      <w:r>
        <w:rPr>
          <w:sz w:val="20"/>
          <w:szCs w:val="20"/>
          <w:color w:val="auto"/>
        </w:rPr>
        <w:tab/>
      </w:r>
      <w:r>
        <w:rPr>
          <w:rFonts w:ascii="Arial" w:cs="Arial" w:eastAsia="Arial" w:hAnsi="Arial"/>
          <w:sz w:val="19"/>
          <w:szCs w:val="19"/>
          <w:b w:val="1"/>
          <w:bCs w:val="1"/>
          <w:color w:val="auto"/>
        </w:rPr>
        <w:t>POST-TERMINATION TRANSACTIONS</w:t>
      </w:r>
    </w:p>
    <w:p>
      <w:pPr>
        <w:spacing w:after="0" w:line="221" w:lineRule="exact"/>
        <w:rPr>
          <w:sz w:val="20"/>
          <w:szCs w:val="20"/>
          <w:color w:val="auto"/>
        </w:rPr>
      </w:pPr>
    </w:p>
    <w:p>
      <w:pPr>
        <w:jc w:val="both"/>
        <w:ind w:left="940" w:right="880"/>
        <w:spacing w:after="0" w:line="242" w:lineRule="auto"/>
        <w:rPr>
          <w:sz w:val="20"/>
          <w:szCs w:val="20"/>
          <w:color w:val="auto"/>
        </w:rPr>
      </w:pPr>
      <w:r>
        <w:rPr>
          <w:rFonts w:ascii="Arial" w:cs="Arial" w:eastAsia="Arial" w:hAnsi="Arial"/>
          <w:sz w:val="19"/>
          <w:szCs w:val="19"/>
          <w:color w:val="auto"/>
        </w:rPr>
        <w:t>This Policy continues to apply to transactions in the Company’s securities after termination of service to the Company. If an Insider is in possession of material nonpublic information when his or her service terminates, or if the Company’s trading window is closed at the time of termination, that individual may not trade in the Company’s securities until any such material nonpublic information has become public or is no longer material and/or the Company’s trading window has opened. The pre-clearance procedures specified in Section V.B.1 above, however, will cease to apply to transactions in the Company’s securities upon the opening of the Company’s trading window and/or expiration of any special trading blackout period, at which point the provisions set forth in Section V.A.1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1440" w:right="559" w:bottom="1440" w:gutter="0" w:footer="0" w:header="0"/>
        </w:sectPr>
      </w:pPr>
    </w:p>
    <w:bookmarkStart w:id="278" w:name="page279"/>
    <w:bookmarkEnd w:id="278"/>
    <w:p>
      <w:pPr>
        <w:spacing w:after="0" w:line="118" w:lineRule="exact"/>
        <w:rPr>
          <w:sz w:val="20"/>
          <w:szCs w:val="20"/>
          <w:color w:val="auto"/>
        </w:rPr>
      </w:pPr>
    </w:p>
    <w:p>
      <w:pPr>
        <w:ind w:left="940"/>
        <w:spacing w:after="0"/>
        <w:rPr>
          <w:sz w:val="20"/>
          <w:szCs w:val="20"/>
          <w:color w:val="auto"/>
        </w:rPr>
      </w:pPr>
      <w:r>
        <w:rPr>
          <w:rFonts w:ascii="Arial" w:cs="Arial" w:eastAsia="Arial" w:hAnsi="Arial"/>
          <w:sz w:val="19"/>
          <w:szCs w:val="19"/>
          <w:color w:val="auto"/>
        </w:rPr>
        <w:t>above shall no longer apply.</w:t>
      </w:r>
    </w:p>
    <w:p>
      <w:pPr>
        <w:spacing w:after="0" w:line="199"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22"/>
          <w:szCs w:val="22"/>
          <w:b w:val="1"/>
          <w:bCs w:val="1"/>
          <w:color w:val="auto"/>
        </w:rPr>
        <w:t>IX.</w:t>
      </w:r>
      <w:r>
        <w:rPr>
          <w:sz w:val="20"/>
          <w:szCs w:val="20"/>
          <w:color w:val="auto"/>
        </w:rPr>
        <w:tab/>
      </w:r>
      <w:r>
        <w:rPr>
          <w:rFonts w:ascii="Arial" w:cs="Arial" w:eastAsia="Arial" w:hAnsi="Arial"/>
          <w:sz w:val="19"/>
          <w:szCs w:val="19"/>
          <w:b w:val="1"/>
          <w:bCs w:val="1"/>
          <w:color w:val="auto"/>
        </w:rPr>
        <w:t>POTENTIAL PENALTIES AND DISCIPLINARY SANCTIONS</w:t>
      </w:r>
    </w:p>
    <w:p>
      <w:pPr>
        <w:spacing w:after="0" w:line="221" w:lineRule="exact"/>
        <w:rPr>
          <w:sz w:val="20"/>
          <w:szCs w:val="20"/>
          <w:color w:val="auto"/>
        </w:rPr>
      </w:pPr>
    </w:p>
    <w:p>
      <w:pPr>
        <w:ind w:left="1700" w:hanging="753"/>
        <w:spacing w:after="0"/>
        <w:tabs>
          <w:tab w:leader="none" w:pos="1700" w:val="left"/>
        </w:tabs>
        <w:numPr>
          <w:ilvl w:val="1"/>
          <w:numId w:val="210"/>
        </w:numPr>
        <w:rPr>
          <w:rFonts w:ascii="Arial" w:cs="Arial" w:eastAsia="Arial" w:hAnsi="Arial"/>
          <w:sz w:val="19"/>
          <w:szCs w:val="19"/>
          <w:b w:val="1"/>
          <w:bCs w:val="1"/>
          <w:color w:val="auto"/>
        </w:rPr>
      </w:pPr>
      <w:r>
        <w:rPr>
          <w:rFonts w:ascii="Arial" w:cs="Arial" w:eastAsia="Arial" w:hAnsi="Arial"/>
          <w:sz w:val="19"/>
          <w:szCs w:val="19"/>
          <w:b w:val="1"/>
          <w:bCs w:val="1"/>
          <w:color w:val="auto"/>
        </w:rPr>
        <w:t>Civil and Criminal Penalties.</w:t>
      </w:r>
    </w:p>
    <w:p>
      <w:pPr>
        <w:spacing w:after="0" w:line="213" w:lineRule="exact"/>
        <w:rPr>
          <w:rFonts w:ascii="Arial" w:cs="Arial" w:eastAsia="Arial" w:hAnsi="Arial"/>
          <w:sz w:val="19"/>
          <w:szCs w:val="19"/>
          <w:b w:val="1"/>
          <w:bCs w:val="1"/>
          <w:color w:val="auto"/>
        </w:rPr>
      </w:pPr>
    </w:p>
    <w:p>
      <w:pPr>
        <w:jc w:val="both"/>
        <w:ind w:left="1700"/>
        <w:spacing w:after="0" w:line="245" w:lineRule="auto"/>
        <w:rPr>
          <w:rFonts w:ascii="Arial" w:cs="Arial" w:eastAsia="Arial" w:hAnsi="Arial"/>
          <w:sz w:val="19"/>
          <w:szCs w:val="19"/>
          <w:b w:val="1"/>
          <w:bCs w:val="1"/>
          <w:color w:val="auto"/>
        </w:rPr>
      </w:pPr>
      <w:r>
        <w:rPr>
          <w:rFonts w:ascii="Arial" w:cs="Arial" w:eastAsia="Arial" w:hAnsi="Arial"/>
          <w:sz w:val="19"/>
          <w:szCs w:val="19"/>
          <w:color w:val="auto"/>
        </w:rPr>
        <w:t>The consequences of prohibited insider trading or tipping can be severe. Persons violating insider trading or tipping rules may be required to disgorge the profit made or the loss avoided by the trading, pay the loss suffered by the person who purchased securities from or sold securities to the Insider or tippee, pay significant civil and/or criminal penalties and serve a lengthy jail term. The Company in such circumstances may also be required to pay significant civil or criminal penalties.</w:t>
      </w:r>
    </w:p>
    <w:p>
      <w:pPr>
        <w:spacing w:after="0" w:line="180" w:lineRule="exact"/>
        <w:rPr>
          <w:rFonts w:ascii="Arial" w:cs="Arial" w:eastAsia="Arial" w:hAnsi="Arial"/>
          <w:sz w:val="19"/>
          <w:szCs w:val="19"/>
          <w:b w:val="1"/>
          <w:bCs w:val="1"/>
          <w:color w:val="auto"/>
        </w:rPr>
      </w:pPr>
    </w:p>
    <w:p>
      <w:pPr>
        <w:ind w:left="1700" w:hanging="753"/>
        <w:spacing w:after="0"/>
        <w:tabs>
          <w:tab w:leader="none" w:pos="1700" w:val="left"/>
        </w:tabs>
        <w:numPr>
          <w:ilvl w:val="1"/>
          <w:numId w:val="210"/>
        </w:numPr>
        <w:rPr>
          <w:rFonts w:ascii="Arial" w:cs="Arial" w:eastAsia="Arial" w:hAnsi="Arial"/>
          <w:sz w:val="19"/>
          <w:szCs w:val="19"/>
          <w:b w:val="1"/>
          <w:bCs w:val="1"/>
          <w:color w:val="auto"/>
        </w:rPr>
      </w:pPr>
      <w:r>
        <w:rPr>
          <w:rFonts w:ascii="Arial" w:cs="Arial" w:eastAsia="Arial" w:hAnsi="Arial"/>
          <w:sz w:val="19"/>
          <w:szCs w:val="19"/>
          <w:b w:val="1"/>
          <w:bCs w:val="1"/>
          <w:color w:val="auto"/>
        </w:rPr>
        <w:t>Company Discipline.</w:t>
      </w:r>
    </w:p>
    <w:p>
      <w:pPr>
        <w:spacing w:after="0" w:line="213" w:lineRule="exact"/>
        <w:rPr>
          <w:rFonts w:ascii="Arial" w:cs="Arial" w:eastAsia="Arial" w:hAnsi="Arial"/>
          <w:sz w:val="19"/>
          <w:szCs w:val="19"/>
          <w:b w:val="1"/>
          <w:bCs w:val="1"/>
          <w:color w:val="auto"/>
        </w:rPr>
      </w:pPr>
    </w:p>
    <w:p>
      <w:pPr>
        <w:jc w:val="both"/>
        <w:ind w:left="1700"/>
        <w:spacing w:after="0" w:line="248" w:lineRule="auto"/>
        <w:rPr>
          <w:rFonts w:ascii="Arial" w:cs="Arial" w:eastAsia="Arial" w:hAnsi="Arial"/>
          <w:sz w:val="19"/>
          <w:szCs w:val="19"/>
          <w:b w:val="1"/>
          <w:bCs w:val="1"/>
          <w:color w:val="auto"/>
        </w:rPr>
      </w:pPr>
      <w:r>
        <w:rPr>
          <w:rFonts w:ascii="Arial" w:cs="Arial" w:eastAsia="Arial" w:hAnsi="Arial"/>
          <w:sz w:val="19"/>
          <w:szCs w:val="19"/>
          <w:color w:val="auto"/>
        </w:rPr>
        <w:t>Violation of this Policy or federal or state insider trading or tipping laws by any Insider may, in the case of a director, subject the director to dismissal proceedings and, in the case of an officer or employee, subject the officer or employee to disciplinary action by the Company up to and including termination for cause.</w:t>
      </w:r>
    </w:p>
    <w:p>
      <w:pPr>
        <w:spacing w:after="0" w:line="176" w:lineRule="exact"/>
        <w:rPr>
          <w:rFonts w:ascii="Arial" w:cs="Arial" w:eastAsia="Arial" w:hAnsi="Arial"/>
          <w:sz w:val="19"/>
          <w:szCs w:val="19"/>
          <w:b w:val="1"/>
          <w:bCs w:val="1"/>
          <w:color w:val="auto"/>
        </w:rPr>
      </w:pPr>
    </w:p>
    <w:p>
      <w:pPr>
        <w:ind w:left="1700" w:hanging="753"/>
        <w:spacing w:after="0"/>
        <w:tabs>
          <w:tab w:leader="none" w:pos="1700" w:val="left"/>
        </w:tabs>
        <w:numPr>
          <w:ilvl w:val="1"/>
          <w:numId w:val="210"/>
        </w:numPr>
        <w:rPr>
          <w:rFonts w:ascii="Arial" w:cs="Arial" w:eastAsia="Arial" w:hAnsi="Arial"/>
          <w:sz w:val="19"/>
          <w:szCs w:val="19"/>
          <w:b w:val="1"/>
          <w:bCs w:val="1"/>
          <w:color w:val="auto"/>
        </w:rPr>
      </w:pPr>
      <w:r>
        <w:rPr>
          <w:rFonts w:ascii="Arial" w:cs="Arial" w:eastAsia="Arial" w:hAnsi="Arial"/>
          <w:sz w:val="19"/>
          <w:szCs w:val="19"/>
          <w:b w:val="1"/>
          <w:bCs w:val="1"/>
          <w:color w:val="auto"/>
        </w:rPr>
        <w:t>Reporting of Violations.</w:t>
      </w:r>
    </w:p>
    <w:p>
      <w:pPr>
        <w:spacing w:after="0" w:line="213" w:lineRule="exact"/>
        <w:rPr>
          <w:rFonts w:ascii="Arial" w:cs="Arial" w:eastAsia="Arial" w:hAnsi="Arial"/>
          <w:sz w:val="19"/>
          <w:szCs w:val="19"/>
          <w:b w:val="1"/>
          <w:bCs w:val="1"/>
          <w:color w:val="auto"/>
        </w:rPr>
      </w:pPr>
    </w:p>
    <w:p>
      <w:pPr>
        <w:jc w:val="both"/>
        <w:ind w:left="1700"/>
        <w:spacing w:after="0" w:line="242" w:lineRule="auto"/>
        <w:rPr>
          <w:rFonts w:ascii="Arial" w:cs="Arial" w:eastAsia="Arial" w:hAnsi="Arial"/>
          <w:sz w:val="19"/>
          <w:szCs w:val="19"/>
          <w:b w:val="1"/>
          <w:bCs w:val="1"/>
          <w:color w:val="auto"/>
        </w:rPr>
      </w:pPr>
      <w:r>
        <w:rPr>
          <w:rFonts w:ascii="Arial" w:cs="Arial" w:eastAsia="Arial" w:hAnsi="Arial"/>
          <w:sz w:val="19"/>
          <w:szCs w:val="19"/>
          <w:color w:val="auto"/>
        </w:rPr>
        <w:t>Any Insider who violates this Policy or any federal or state law governing insider trading or tipping or knows of any such violation by any other Insider, must report the violation immediately to the Compliance Officer. Upon determining that any such violation has occurred, the Compliance Officer, in consultation with the Company’s Disclosure Committee and, where appropriate, the Chair of the Audit Committee of the Board, will determine whether the Company should release any material nonpublic information, and, when required by applicable law, shall cause the Company to report the violation to the SEC or other appropriate governmental authority.</w:t>
      </w:r>
    </w:p>
    <w:p>
      <w:pPr>
        <w:spacing w:after="0" w:line="199" w:lineRule="exact"/>
        <w:rPr>
          <w:rFonts w:ascii="Arial" w:cs="Arial" w:eastAsia="Arial" w:hAnsi="Arial"/>
          <w:sz w:val="19"/>
          <w:szCs w:val="19"/>
          <w:b w:val="1"/>
          <w:bCs w:val="1"/>
          <w:color w:val="auto"/>
        </w:rPr>
      </w:pPr>
    </w:p>
    <w:p>
      <w:pPr>
        <w:ind w:left="940" w:hanging="742"/>
        <w:spacing w:after="0"/>
        <w:tabs>
          <w:tab w:leader="none" w:pos="940" w:val="left"/>
        </w:tabs>
        <w:numPr>
          <w:ilvl w:val="0"/>
          <w:numId w:val="211"/>
        </w:numPr>
        <w:rPr>
          <w:rFonts w:ascii="Arial" w:cs="Arial" w:eastAsia="Arial" w:hAnsi="Arial"/>
          <w:sz w:val="22"/>
          <w:szCs w:val="22"/>
          <w:b w:val="1"/>
          <w:bCs w:val="1"/>
          <w:color w:val="auto"/>
        </w:rPr>
      </w:pPr>
      <w:r>
        <w:rPr>
          <w:rFonts w:ascii="Arial" w:cs="Arial" w:eastAsia="Arial" w:hAnsi="Arial"/>
          <w:sz w:val="19"/>
          <w:szCs w:val="19"/>
          <w:b w:val="1"/>
          <w:bCs w:val="1"/>
          <w:color w:val="auto"/>
        </w:rPr>
        <w:t>MISCELLANEOUS</w:t>
      </w:r>
    </w:p>
    <w:p>
      <w:pPr>
        <w:spacing w:after="0" w:line="192" w:lineRule="exact"/>
        <w:rPr>
          <w:rFonts w:ascii="Arial" w:cs="Arial" w:eastAsia="Arial" w:hAnsi="Arial"/>
          <w:sz w:val="22"/>
          <w:szCs w:val="22"/>
          <w:b w:val="1"/>
          <w:bCs w:val="1"/>
          <w:color w:val="auto"/>
        </w:rPr>
      </w:pPr>
    </w:p>
    <w:p>
      <w:pPr>
        <w:jc w:val="both"/>
        <w:ind w:left="940" w:right="220"/>
        <w:spacing w:after="0" w:line="248" w:lineRule="auto"/>
        <w:rPr>
          <w:rFonts w:ascii="Arial" w:cs="Arial" w:eastAsia="Arial" w:hAnsi="Arial"/>
          <w:sz w:val="22"/>
          <w:szCs w:val="22"/>
          <w:b w:val="1"/>
          <w:bCs w:val="1"/>
          <w:color w:val="auto"/>
        </w:rPr>
      </w:pPr>
      <w:r>
        <w:rPr>
          <w:rFonts w:ascii="Arial" w:cs="Arial" w:eastAsia="Arial" w:hAnsi="Arial"/>
          <w:sz w:val="19"/>
          <w:szCs w:val="19"/>
          <w:color w:val="auto"/>
        </w:rPr>
        <w:t>This Policy will be delivered to all new directors, officers, employees and designated outsiders at the start of their employment or relationship with the Company. Upon first receiving a copy of this Policy or any revised versions, each Insider must sign an acknowledgment that the Insider received a copy of this Policy and agrees to comply with its terms.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440" w:right="1439" w:bottom="1440" w:gutter="0" w:footer="0" w:header="0"/>
        </w:sectPr>
      </w:pPr>
    </w:p>
    <w:bookmarkStart w:id="279" w:name="page280"/>
    <w:bookmarkEnd w:id="279"/>
    <w:p>
      <w:pPr>
        <w:ind w:left="3280"/>
        <w:spacing w:after="0"/>
        <w:rPr>
          <w:sz w:val="20"/>
          <w:szCs w:val="20"/>
          <w:color w:val="auto"/>
        </w:rPr>
      </w:pPr>
      <w:r>
        <w:rPr>
          <w:rFonts w:ascii="Arial" w:cs="Arial" w:eastAsia="Arial" w:hAnsi="Arial"/>
          <w:sz w:val="19"/>
          <w:szCs w:val="19"/>
          <w:b w:val="1"/>
          <w:bCs w:val="1"/>
          <w:color w:val="auto"/>
        </w:rPr>
        <w:t>Receipt and Acknowledgment</w:t>
      </w:r>
    </w:p>
    <w:p>
      <w:pPr>
        <w:spacing w:after="0" w:line="214" w:lineRule="exact"/>
        <w:rPr>
          <w:sz w:val="20"/>
          <w:szCs w:val="20"/>
          <w:color w:val="auto"/>
        </w:rPr>
      </w:pPr>
    </w:p>
    <w:p>
      <w:pPr>
        <w:jc w:val="both"/>
        <w:ind w:left="200"/>
        <w:spacing w:after="0" w:line="254" w:lineRule="auto"/>
        <w:rPr>
          <w:sz w:val="20"/>
          <w:szCs w:val="20"/>
          <w:color w:val="auto"/>
        </w:rPr>
      </w:pPr>
      <w:r>
        <w:rPr>
          <w:rFonts w:ascii="Arial" w:cs="Arial" w:eastAsia="Arial" w:hAnsi="Arial"/>
          <w:sz w:val="19"/>
          <w:szCs w:val="19"/>
          <w:color w:val="auto"/>
        </w:rPr>
        <w:t>Upon first receiving a copy of ProKidney’s Insider Trading Policy or any revised version thereof, each member of the Board of Directors and each Company employee must sign and return to the Company the following receipt and acknowledgement.</w:t>
      </w:r>
    </w:p>
    <w:p>
      <w:pPr>
        <w:spacing w:after="0" w:line="170" w:lineRule="exact"/>
        <w:rPr>
          <w:sz w:val="20"/>
          <w:szCs w:val="20"/>
          <w:color w:val="auto"/>
        </w:rPr>
      </w:pPr>
    </w:p>
    <w:p>
      <w:pPr>
        <w:jc w:val="both"/>
        <w:ind w:left="200"/>
        <w:spacing w:after="0" w:line="248" w:lineRule="auto"/>
        <w:rPr>
          <w:sz w:val="20"/>
          <w:szCs w:val="20"/>
          <w:color w:val="auto"/>
        </w:rPr>
      </w:pPr>
      <w:r>
        <w:rPr>
          <w:rFonts w:ascii="Arial" w:cs="Arial" w:eastAsia="Arial" w:hAnsi="Arial"/>
          <w:sz w:val="19"/>
          <w:szCs w:val="19"/>
          <w:color w:val="auto"/>
        </w:rPr>
        <w:t>I, , hereby acknowledge that I have received and read a copy of ProKidney’s Insider Trading Policy and agree to comply with its terms. I understand that violation of insider trading or tipping laws or regulations may subject me to severe civil and/or criminal penalties, and that violation of the terms of the above-titled policy may subject me to discipline by the Company up to and including termination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-444500</wp:posOffset>
            </wp:positionV>
            <wp:extent cx="17526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4">
                      <a:extLst>
                        <a:ext uri="{28A0092B-C50C-407E-A947-70E740481C1C}"/>
                      </a:extLst>
                    </a:blip>
                    <a:srcRect/>
                    <a:stretch>
                      <a:fillRect/>
                    </a:stretch>
                  </pic:blipFill>
                  <pic:spPr bwMode="auto">
                    <a:xfrm>
                      <a:off x="0" y="0"/>
                      <a:ext cx="175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0"/>
        <w:spacing w:after="0"/>
        <w:rPr>
          <w:sz w:val="20"/>
          <w:szCs w:val="20"/>
          <w:color w:val="auto"/>
        </w:rPr>
      </w:pPr>
      <w:r>
        <w:rPr>
          <w:rFonts w:ascii="Arial" w:cs="Arial" w:eastAsia="Arial" w:hAnsi="Arial"/>
          <w:sz w:val="19"/>
          <w:szCs w:val="19"/>
          <w:color w:val="auto"/>
        </w:rPr>
        <w:t>Signature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(Print Name)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422" w:right="1439" w:bottom="1440" w:gutter="0" w:footer="0" w:header="0"/>
        </w:sectPr>
      </w:pPr>
    </w:p>
    <w:bookmarkStart w:id="280" w:name="page281"/>
    <w:bookmarkEnd w:id="280"/>
    <w:p>
      <w:pPr>
        <w:jc w:val="center"/>
        <w:ind w:right="-199"/>
        <w:spacing w:after="0"/>
        <w:rPr>
          <w:sz w:val="20"/>
          <w:szCs w:val="20"/>
          <w:color w:val="auto"/>
        </w:rPr>
      </w:pPr>
      <w:r>
        <w:rPr>
          <w:rFonts w:ascii="Arial" w:cs="Arial" w:eastAsia="Arial" w:hAnsi="Arial"/>
          <w:sz w:val="19"/>
          <w:szCs w:val="19"/>
          <w:b w:val="1"/>
          <w:bCs w:val="1"/>
          <w:color w:val="auto"/>
        </w:rPr>
        <w:t>EXHIBIT A</w:t>
      </w: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PROKIDNEY CORP.</w:t>
      </w:r>
    </w:p>
    <w:p>
      <w:pPr>
        <w:spacing w:after="0" w:line="214" w:lineRule="exact"/>
        <w:rPr>
          <w:sz w:val="20"/>
          <w:szCs w:val="20"/>
          <w:color w:val="auto"/>
        </w:rPr>
      </w:pPr>
    </w:p>
    <w:p>
      <w:pPr>
        <w:ind w:left="4060"/>
        <w:spacing w:after="0"/>
        <w:rPr>
          <w:sz w:val="20"/>
          <w:szCs w:val="20"/>
          <w:color w:val="auto"/>
        </w:rPr>
      </w:pPr>
      <w:r>
        <w:rPr>
          <w:rFonts w:ascii="Arial" w:cs="Arial" w:eastAsia="Arial" w:hAnsi="Arial"/>
          <w:sz w:val="19"/>
          <w:szCs w:val="19"/>
          <w:b w:val="1"/>
          <w:bCs w:val="1"/>
          <w:color w:val="auto"/>
        </w:rPr>
        <w:t>INSIDER TRADING POLICY</w:t>
      </w:r>
    </w:p>
    <w:p>
      <w:pPr>
        <w:spacing w:after="0" w:line="200" w:lineRule="exact"/>
        <w:rPr>
          <w:sz w:val="20"/>
          <w:szCs w:val="20"/>
          <w:color w:val="auto"/>
        </w:rPr>
      </w:pPr>
    </w:p>
    <w:p>
      <w:pPr>
        <w:spacing w:after="0" w:line="230" w:lineRule="exact"/>
        <w:rPr>
          <w:sz w:val="20"/>
          <w:szCs w:val="20"/>
          <w:color w:val="auto"/>
        </w:rPr>
      </w:pPr>
    </w:p>
    <w:p>
      <w:pPr>
        <w:ind w:left="2420"/>
        <w:spacing w:after="0"/>
        <w:rPr>
          <w:sz w:val="20"/>
          <w:szCs w:val="20"/>
          <w:color w:val="auto"/>
        </w:rPr>
      </w:pPr>
      <w:r>
        <w:rPr>
          <w:rFonts w:ascii="Arial" w:cs="Arial" w:eastAsia="Arial" w:hAnsi="Arial"/>
          <w:sz w:val="19"/>
          <w:szCs w:val="19"/>
          <w:u w:val="single" w:color="auto"/>
          <w:color w:val="auto"/>
        </w:rPr>
        <w:t>Notice and Certification for Request to Trade Company Securities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9"/>
          <w:szCs w:val="19"/>
          <w:color w:val="auto"/>
        </w:rPr>
        <w:t>To the Compliance Officer:</w:t>
      </w:r>
    </w:p>
    <w:p>
      <w:pPr>
        <w:spacing w:after="0" w:line="227" w:lineRule="exact"/>
        <w:rPr>
          <w:sz w:val="20"/>
          <w:szCs w:val="20"/>
          <w:color w:val="auto"/>
        </w:rPr>
      </w:pPr>
    </w:p>
    <w:p>
      <w:pPr>
        <w:ind w:left="200"/>
        <w:spacing w:after="0" w:line="270" w:lineRule="auto"/>
        <w:rPr>
          <w:sz w:val="20"/>
          <w:szCs w:val="20"/>
          <w:color w:val="auto"/>
        </w:rPr>
      </w:pPr>
      <w:r>
        <w:rPr>
          <w:rFonts w:ascii="Arial" w:cs="Arial" w:eastAsia="Arial" w:hAnsi="Arial"/>
          <w:sz w:val="19"/>
          <w:szCs w:val="19"/>
          <w:color w:val="auto"/>
        </w:rPr>
        <w:t>I hereby notify you of my intent to trade in securities of ProKidney Corp. (the “Company”). The amount and nature of the proposed trade is as follows:</w:t>
      </w:r>
    </w:p>
    <w:p>
      <w:pPr>
        <w:spacing w:after="0" w:line="156" w:lineRule="exact"/>
        <w:rPr>
          <w:sz w:val="20"/>
          <w:szCs w:val="20"/>
          <w:color w:val="auto"/>
        </w:rPr>
      </w:pPr>
    </w:p>
    <w:p>
      <w:pPr>
        <w:ind w:left="1620" w:hanging="673"/>
        <w:spacing w:after="0"/>
        <w:tabs>
          <w:tab w:leader="none" w:pos="1620" w:val="left"/>
        </w:tabs>
        <w:numPr>
          <w:ilvl w:val="0"/>
          <w:numId w:val="212"/>
        </w:numPr>
        <w:rPr>
          <w:rFonts w:ascii="MS PGothic" w:cs="MS PGothic" w:eastAsia="MS PGothic" w:hAnsi="MS PGothic"/>
          <w:sz w:val="18"/>
          <w:szCs w:val="18"/>
          <w:color w:val="auto"/>
        </w:rPr>
      </w:pPr>
      <w:r>
        <w:rPr>
          <w:rFonts w:ascii="Arial" w:cs="Arial" w:eastAsia="Arial" w:hAnsi="Arial"/>
          <w:sz w:val="19"/>
          <w:szCs w:val="19"/>
          <w:color w:val="auto"/>
        </w:rPr>
        <w:t>Exercise  Company stock options.</w:t>
      </w:r>
    </w:p>
    <w:p>
      <w:pPr>
        <w:spacing w:after="0" w:line="105" w:lineRule="exact"/>
        <w:rPr>
          <w:rFonts w:ascii="MS PGothic" w:cs="MS PGothic" w:eastAsia="MS PGothic" w:hAnsi="MS PGothic"/>
          <w:sz w:val="18"/>
          <w:szCs w:val="18"/>
          <w:color w:val="auto"/>
        </w:rPr>
      </w:pPr>
    </w:p>
    <w:p>
      <w:pPr>
        <w:ind w:left="1620" w:hanging="673"/>
        <w:spacing w:after="0"/>
        <w:tabs>
          <w:tab w:leader="none" w:pos="1620" w:val="left"/>
        </w:tabs>
        <w:numPr>
          <w:ilvl w:val="0"/>
          <w:numId w:val="212"/>
        </w:numPr>
        <w:rPr>
          <w:rFonts w:ascii="MS PGothic" w:cs="MS PGothic" w:eastAsia="MS PGothic" w:hAnsi="MS PGothic"/>
          <w:sz w:val="18"/>
          <w:szCs w:val="18"/>
          <w:color w:val="auto"/>
        </w:rPr>
      </w:pPr>
      <w:r>
        <w:rPr>
          <w:rFonts w:ascii="Arial" w:cs="Arial" w:eastAsia="Arial" w:hAnsi="Arial"/>
          <w:sz w:val="19"/>
          <w:szCs w:val="19"/>
          <w:color w:val="auto"/>
        </w:rPr>
        <w:t>Sell in the open market ____________ shares of Company Class A Shares.</w:t>
      </w:r>
    </w:p>
    <w:p>
      <w:pPr>
        <w:spacing w:after="0" w:line="321" w:lineRule="exact"/>
        <w:rPr>
          <w:rFonts w:ascii="MS PGothic" w:cs="MS PGothic" w:eastAsia="MS PGothic" w:hAnsi="MS PGothic"/>
          <w:sz w:val="18"/>
          <w:szCs w:val="18"/>
          <w:color w:val="auto"/>
        </w:rPr>
      </w:pPr>
    </w:p>
    <w:p>
      <w:pPr>
        <w:ind w:left="1700" w:hanging="753"/>
        <w:spacing w:after="0"/>
        <w:tabs>
          <w:tab w:leader="none" w:pos="1700" w:val="left"/>
        </w:tabs>
        <w:numPr>
          <w:ilvl w:val="0"/>
          <w:numId w:val="212"/>
        </w:numPr>
        <w:rPr>
          <w:rFonts w:ascii="MS PGothic" w:cs="MS PGothic" w:eastAsia="MS PGothic" w:hAnsi="MS PGothic"/>
          <w:sz w:val="18"/>
          <w:szCs w:val="18"/>
          <w:color w:val="auto"/>
        </w:rPr>
      </w:pPr>
      <w:r>
        <w:rPr>
          <w:rFonts w:ascii="Arial" w:cs="Arial" w:eastAsia="Arial" w:hAnsi="Arial"/>
          <w:sz w:val="19"/>
          <w:szCs w:val="19"/>
          <w:color w:val="auto"/>
        </w:rPr>
        <w:t>Purchase in the open market ___________ shares of Company Class A Shares.</w:t>
      </w:r>
    </w:p>
    <w:p>
      <w:pPr>
        <w:spacing w:after="0" w:line="92" w:lineRule="exact"/>
        <w:rPr>
          <w:rFonts w:ascii="MS PGothic" w:cs="MS PGothic" w:eastAsia="MS PGothic" w:hAnsi="MS PGothic"/>
          <w:sz w:val="18"/>
          <w:szCs w:val="18"/>
          <w:color w:val="auto"/>
        </w:rPr>
      </w:pPr>
    </w:p>
    <w:p>
      <w:pPr>
        <w:ind w:left="1700" w:hanging="753"/>
        <w:spacing w:after="0"/>
        <w:tabs>
          <w:tab w:leader="none" w:pos="1700" w:val="left"/>
        </w:tabs>
        <w:numPr>
          <w:ilvl w:val="0"/>
          <w:numId w:val="212"/>
        </w:numPr>
        <w:rPr>
          <w:rFonts w:ascii="MS PGothic" w:cs="MS PGothic" w:eastAsia="MS PGothic" w:hAnsi="MS PGothic"/>
          <w:sz w:val="18"/>
          <w:szCs w:val="18"/>
          <w:color w:val="auto"/>
        </w:rPr>
      </w:pPr>
      <w:r>
        <w:rPr>
          <w:rFonts w:ascii="Arial" w:cs="Arial" w:eastAsia="Arial" w:hAnsi="Arial"/>
          <w:sz w:val="19"/>
          <w:szCs w:val="19"/>
          <w:color w:val="auto"/>
        </w:rPr>
        <w:t>Gift  shares of Company Class A Shares to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-755015</wp:posOffset>
            </wp:positionV>
            <wp:extent cx="7302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6">
                      <a:extLst>
                        <a:ext uri="{28A0092B-C50C-407E-A947-70E740481C1C}"/>
                      </a:extLst>
                    </a:blip>
                    <a:srcRect/>
                    <a:stretch>
                      <a:fillRect/>
                    </a:stretch>
                  </pic:blipFill>
                  <pic:spPr bwMode="auto">
                    <a:xfrm>
                      <a:off x="0" y="0"/>
                      <a:ext cx="73025" cy="8255"/>
                    </a:xfrm>
                    <a:prstGeom prst="rect">
                      <a:avLst/>
                    </a:prstGeom>
                    <a:noFill/>
                  </pic:spPr>
                </pic:pic>
              </a:graphicData>
            </a:graphic>
          </wp:anchor>
        </w:drawing>
      </w:r>
    </w:p>
    <w:p>
      <w:pPr>
        <w:spacing w:after="0" w:line="54" w:lineRule="exact"/>
        <w:rPr>
          <w:sz w:val="20"/>
          <w:szCs w:val="20"/>
          <w:color w:val="auto"/>
        </w:rPr>
      </w:pPr>
    </w:p>
    <w:p>
      <w:pPr>
        <w:ind w:left="940"/>
        <w:spacing w:after="0"/>
        <w:tabs>
          <w:tab w:leader="none" w:pos="1680" w:val="left"/>
          <w:tab w:leader="none" w:pos="46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9"/>
          <w:szCs w:val="19"/>
          <w:color w:val="auto"/>
        </w:rPr>
        <w:t>Adopt a Rule 10b5-1 plan to sell</w:t>
      </w:r>
      <w:r>
        <w:rPr>
          <w:sz w:val="20"/>
          <w:szCs w:val="20"/>
          <w:color w:val="auto"/>
        </w:rPr>
        <w:tab/>
      </w:r>
      <w:r>
        <w:rPr>
          <w:rFonts w:ascii="Arial" w:cs="Arial" w:eastAsia="Arial" w:hAnsi="Arial"/>
          <w:sz w:val="18"/>
          <w:szCs w:val="18"/>
          <w:color w:val="auto"/>
        </w:rPr>
        <w:t>Company 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10160</wp:posOffset>
            </wp:positionV>
            <wp:extent cx="12573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04" w:lineRule="exact"/>
        <w:rPr>
          <w:sz w:val="20"/>
          <w:szCs w:val="20"/>
          <w:color w:val="auto"/>
        </w:rPr>
      </w:pPr>
    </w:p>
    <w:p>
      <w:pPr>
        <w:ind w:left="1700" w:hanging="753"/>
        <w:spacing w:after="0"/>
        <w:tabs>
          <w:tab w:leader="none" w:pos="1700" w:val="left"/>
        </w:tabs>
        <w:numPr>
          <w:ilvl w:val="0"/>
          <w:numId w:val="213"/>
        </w:numPr>
        <w:rPr>
          <w:rFonts w:ascii="MS PGothic" w:cs="MS PGothic" w:eastAsia="MS PGothic" w:hAnsi="MS PGothic"/>
          <w:sz w:val="18"/>
          <w:szCs w:val="18"/>
          <w:color w:val="auto"/>
        </w:rPr>
      </w:pPr>
      <w:r>
        <w:rPr>
          <w:rFonts w:ascii="Arial" w:cs="Arial" w:eastAsia="Arial" w:hAnsi="Arial"/>
          <w:sz w:val="19"/>
          <w:szCs w:val="19"/>
          <w:color w:val="auto"/>
        </w:rPr>
        <w:t>Other (explain)</w:t>
      </w:r>
    </w:p>
    <w:p>
      <w:pPr>
        <w:spacing w:after="0" w:line="105" w:lineRule="exact"/>
        <w:rPr>
          <w:rFonts w:ascii="MS PGothic" w:cs="MS PGothic" w:eastAsia="MS PGothic" w:hAnsi="MS PGothic"/>
          <w:sz w:val="18"/>
          <w:szCs w:val="18"/>
          <w:color w:val="auto"/>
        </w:rPr>
      </w:pPr>
    </w:p>
    <w:p>
      <w:pPr>
        <w:ind w:left="2120"/>
        <w:spacing w:after="0"/>
        <w:rPr>
          <w:rFonts w:ascii="MS PGothic" w:cs="MS PGothic" w:eastAsia="MS PGothic" w:hAnsi="MS PGothic"/>
          <w:sz w:val="18"/>
          <w:szCs w:val="18"/>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-215265</wp:posOffset>
            </wp:positionV>
            <wp:extent cx="24003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8">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-9525</wp:posOffset>
            </wp:positionV>
            <wp:extent cx="26670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9">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86" w:lineRule="exact"/>
        <w:rPr>
          <w:sz w:val="20"/>
          <w:szCs w:val="20"/>
          <w:color w:val="auto"/>
        </w:rPr>
      </w:pPr>
    </w:p>
    <w:p>
      <w:pPr>
        <w:jc w:val="both"/>
        <w:ind w:left="200"/>
        <w:spacing w:after="0" w:line="243" w:lineRule="auto"/>
        <w:rPr>
          <w:sz w:val="20"/>
          <w:szCs w:val="20"/>
          <w:color w:val="auto"/>
        </w:rPr>
      </w:pPr>
      <w:r>
        <w:rPr>
          <w:rFonts w:ascii="Arial" w:cs="Arial" w:eastAsia="Arial" w:hAnsi="Arial"/>
          <w:sz w:val="19"/>
          <w:szCs w:val="19"/>
          <w:color w:val="auto"/>
        </w:rPr>
        <w:t>I understand that I am not authorized to trade in Company securities or adopt a Rule 10b5-1 plan in reliance upon this Notice and Certification until the same is approved by the Compliance Officer. I further understand that I am only authorized to complete my proposed trade or adopt my Rule 10b5-1 plan during the authorization period set forth in the approval below, and that if I have not completed my proposed trade or adopted my Rule 10b5-1 plan by the last date of the authorization period set forth below, I must submit a new Notice and Certification in order to trade in Company securities or adopt a plan.</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I hereby certify that I am not aware of material nonpublic information concerning the Company.</w:t>
      </w:r>
    </w:p>
    <w:p>
      <w:pPr>
        <w:spacing w:after="0" w:line="214" w:lineRule="exact"/>
        <w:rPr>
          <w:sz w:val="20"/>
          <w:szCs w:val="20"/>
          <w:color w:val="auto"/>
        </w:rPr>
      </w:pPr>
    </w:p>
    <w:p>
      <w:pPr>
        <w:ind w:left="300"/>
        <w:spacing w:after="0"/>
        <w:tabs>
          <w:tab w:leader="none" w:pos="154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-9525</wp:posOffset>
            </wp:positionV>
            <wp:extent cx="21336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0">
                      <a:extLst>
                        <a:ext uri="{28A0092B-C50C-407E-A947-70E740481C1C}"/>
                      </a:extLst>
                    </a:blip>
                    <a:srcRect/>
                    <a:stretch>
                      <a:fillRect/>
                    </a:stretch>
                  </pic:blipFill>
                  <pic:spPr bwMode="auto">
                    <a:xfrm>
                      <a:off x="0" y="0"/>
                      <a:ext cx="213360" cy="8890"/>
                    </a:xfrm>
                    <a:prstGeom prst="rect">
                      <a:avLst/>
                    </a:prstGeom>
                    <a:noFill/>
                  </pic:spPr>
                </pic:pic>
              </a:graphicData>
            </a:graphic>
          </wp:anchor>
        </w:drawing>
        <w:drawing>
          <wp:anchor simplePos="0" relativeHeight="251657728" behindDoc="1" locked="0" layoutInCell="0" allowOverlap="1">
            <wp:simplePos x="0" y="0"/>
            <wp:positionH relativeFrom="column">
              <wp:posOffset>1575435</wp:posOffset>
            </wp:positionH>
            <wp:positionV relativeFrom="paragraph">
              <wp:posOffset>-9525</wp:posOffset>
            </wp:positionV>
            <wp:extent cx="21971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1">
                      <a:extLst>
                        <a:ext uri="{28A0092B-C50C-407E-A947-70E740481C1C}"/>
                      </a:extLst>
                    </a:blip>
                    <a:srcRect/>
                    <a:stretch>
                      <a:fillRect/>
                    </a:stretch>
                  </pic:blipFill>
                  <pic:spPr bwMode="auto">
                    <a:xfrm>
                      <a:off x="0" y="0"/>
                      <a:ext cx="219710" cy="8890"/>
                    </a:xfrm>
                    <a:prstGeom prst="rect">
                      <a:avLst/>
                    </a:prstGeom>
                    <a:noFill/>
                  </pic:spPr>
                </pic:pic>
              </a:graphicData>
            </a:graphic>
          </wp:anchor>
        </w:drawing>
      </w:r>
    </w:p>
    <w:p>
      <w:pPr>
        <w:spacing w:after="0" w:line="194"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4097655</wp:posOffset>
            </wp:positionH>
            <wp:positionV relativeFrom="paragraph">
              <wp:posOffset>-9525</wp:posOffset>
            </wp:positionV>
            <wp:extent cx="16637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2">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207"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To be completed by Compliance Officer</w:t>
      </w:r>
    </w:p>
    <w:p>
      <w:pPr>
        <w:spacing w:after="0" w:line="16"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To be completed by Compliance Officer</w:t>
      </w:r>
    </w:p>
    <w:p>
      <w:pPr>
        <w:spacing w:after="0" w:line="196" w:lineRule="exact"/>
        <w:rPr>
          <w:sz w:val="20"/>
          <w:szCs w:val="20"/>
          <w:color w:val="auto"/>
        </w:rPr>
      </w:pPr>
    </w:p>
    <w:p>
      <w:pPr>
        <w:ind w:left="300"/>
        <w:spacing w:after="0"/>
        <w:tabs>
          <w:tab w:leader="none" w:pos="1960" w:val="left"/>
        </w:tabs>
        <w:rPr>
          <w:sz w:val="20"/>
          <w:szCs w:val="20"/>
          <w:color w:val="auto"/>
        </w:rPr>
      </w:pPr>
      <w:r>
        <w:rPr>
          <w:rFonts w:ascii="Arial" w:cs="Arial" w:eastAsia="Arial" w:hAnsi="Arial"/>
          <w:sz w:val="19"/>
          <w:szCs w:val="19"/>
          <w:color w:val="auto"/>
        </w:rPr>
        <w:t>Approved By:</w:t>
      </w:r>
      <w:r>
        <w:rPr>
          <w:sz w:val="20"/>
          <w:szCs w:val="20"/>
          <w:color w:val="auto"/>
        </w:rPr>
        <w:tab/>
      </w:r>
      <w:r>
        <w:rPr>
          <w:rFonts w:ascii="Arial" w:cs="Arial" w:eastAsia="Arial" w:hAnsi="Arial"/>
          <w:sz w:val="19"/>
          <w:szCs w:val="19"/>
          <w:color w:val="auto"/>
        </w:rPr>
        <w:t>Authorization Period Begins: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949960</wp:posOffset>
            </wp:positionH>
            <wp:positionV relativeFrom="paragraph">
              <wp:posOffset>-9525</wp:posOffset>
            </wp:positionV>
            <wp:extent cx="463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3">
                      <a:extLst>
                        <a:ext uri="{28A0092B-C50C-407E-A947-70E740481C1C}"/>
                      </a:extLst>
                    </a:blip>
                    <a:srcRect/>
                    <a:stretch>
                      <a:fillRect/>
                    </a:stretch>
                  </pic:blipFill>
                  <pic:spPr bwMode="auto">
                    <a:xfrm>
                      <a:off x="0" y="0"/>
                      <a:ext cx="46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422" w:right="1439" w:bottom="1440" w:gutter="0" w:footer="0" w:header="0"/>
        </w:sectPr>
      </w:pPr>
    </w:p>
    <w:bookmarkStart w:id="281" w:name="page282"/>
    <w:bookmarkEnd w:id="281"/>
    <w:p>
      <w:pPr>
        <w:ind w:left="300"/>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-9525</wp:posOffset>
            </wp:positionV>
            <wp:extent cx="21336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5">
                      <a:extLst>
                        <a:ext uri="{28A0092B-C50C-407E-A947-70E740481C1C}"/>
                      </a:extLst>
                    </a:blip>
                    <a:srcRect/>
                    <a:stretch>
                      <a:fillRect/>
                    </a:stretch>
                  </pic:blipFill>
                  <pic:spPr bwMode="auto">
                    <a:xfrm>
                      <a:off x="0" y="0"/>
                      <a:ext cx="213360" cy="8255"/>
                    </a:xfrm>
                    <a:prstGeom prst="rect">
                      <a:avLst/>
                    </a:prstGeom>
                    <a:noFill/>
                  </pic:spPr>
                </pic:pic>
              </a:graphicData>
            </a:graphic>
          </wp:anchor>
        </w:drawing>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382" w:right="1440" w:bottom="1440" w:gutter="0" w:footer="0" w:header="0"/>
        </w:sectPr>
      </w:pPr>
    </w:p>
    <w:bookmarkStart w:id="282" w:name="page283"/>
    <w:bookmarkEnd w:id="282"/>
    <w:p>
      <w:pPr>
        <w:ind w:left="300"/>
        <w:spacing w:after="0"/>
        <w:rPr>
          <w:sz w:val="20"/>
          <w:szCs w:val="20"/>
          <w:color w:val="auto"/>
        </w:rPr>
      </w:pPr>
      <w:r>
        <w:rPr>
          <w:rFonts w:ascii="Arial" w:cs="Arial" w:eastAsia="Arial" w:hAnsi="Arial"/>
          <w:sz w:val="19"/>
          <w:szCs w:val="19"/>
          <w:color w:val="auto"/>
        </w:rPr>
        <w:t>Authorization Period 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-9525</wp:posOffset>
            </wp:positionV>
            <wp:extent cx="14605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7">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jc w:val="right"/>
        <w:ind w:right="3919"/>
        <w:spacing w:after="0"/>
        <w:rPr>
          <w:sz w:val="20"/>
          <w:szCs w:val="20"/>
          <w:color w:val="auto"/>
        </w:rPr>
      </w:pPr>
      <w:r>
        <w:rPr>
          <w:rFonts w:ascii="Arial" w:cs="Arial" w:eastAsia="Arial" w:hAnsi="Arial"/>
          <w:sz w:val="19"/>
          <w:szCs w:val="19"/>
          <w:color w:val="auto"/>
        </w:rPr>
        <w:t>(up to 4 business days after period begins)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382" w:right="1440"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the Registrant</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24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820" w:type="dxa"/>
            <w:vAlign w:val="bottom"/>
          </w:tcPr>
          <w:p>
            <w:pPr>
              <w:spacing w:after="0"/>
              <w:rPr>
                <w:sz w:val="15"/>
                <w:szCs w:val="15"/>
                <w:color w:val="auto"/>
              </w:rPr>
            </w:pPr>
          </w:p>
        </w:tc>
        <w:tc>
          <w:tcPr>
            <w:tcW w:w="58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ProKidney Corp. GP Limited</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ProKidney LP</w:t>
            </w:r>
          </w:p>
        </w:tc>
        <w:tc>
          <w:tcPr>
            <w:tcW w:w="2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ProKidney (f/k/a RegenMed (Cayman) Ltd.)</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ProKidney, LLC (f/k/a Twin City Bio LLC)</w:t>
            </w:r>
          </w:p>
        </w:tc>
        <w:tc>
          <w:tcPr>
            <w:tcW w:w="2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ProKidney Acquisition Company, LLC</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ProKidney Acquisition Company II, LLC</w:t>
            </w:r>
          </w:p>
        </w:tc>
        <w:tc>
          <w:tcPr>
            <w:tcW w:w="24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7"/>
        </w:trPr>
        <w:tc>
          <w:tcPr>
            <w:tcW w:w="1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308" w:lineRule="exact"/>
        <w:rPr>
          <w:sz w:val="20"/>
          <w:szCs w:val="20"/>
          <w:color w:val="auto"/>
        </w:rPr>
      </w:pPr>
    </w:p>
    <w:p>
      <w:pPr>
        <w:ind w:right="2860" w:firstLine="2856"/>
        <w:spacing w:after="0" w:line="315" w:lineRule="auto"/>
        <w:rPr>
          <w:sz w:val="20"/>
          <w:szCs w:val="20"/>
          <w:color w:val="auto"/>
        </w:rPr>
      </w:pPr>
      <w:r>
        <w:rPr>
          <w:rFonts w:ascii="Times New Roman" w:cs="Times New Roman" w:eastAsia="Times New Roman" w:hAnsi="Times New Roman"/>
          <w:sz w:val="22"/>
          <w:szCs w:val="22"/>
          <w:b w:val="1"/>
          <w:bCs w:val="1"/>
          <w:color w:val="333333"/>
        </w:rPr>
        <w:t xml:space="preserve">Consent of Independent Registered Public Accounting Firm </w:t>
      </w:r>
      <w:r>
        <w:rPr>
          <w:rFonts w:ascii="Times New Roman" w:cs="Times New Roman" w:eastAsia="Times New Roman" w:hAnsi="Times New Roman"/>
          <w:sz w:val="22"/>
          <w:szCs w:val="22"/>
          <w:color w:val="333333"/>
        </w:rPr>
        <w:t>We consent to the incorporation by reference in the following Registration Statements:</w:t>
      </w:r>
    </w:p>
    <w:p>
      <w:pPr>
        <w:spacing w:after="0" w:line="1" w:lineRule="exact"/>
        <w:rPr>
          <w:sz w:val="20"/>
          <w:szCs w:val="20"/>
          <w:color w:val="auto"/>
        </w:rPr>
      </w:pPr>
    </w:p>
    <w:p>
      <w:pPr>
        <w:ind w:left="780" w:right="1440" w:hanging="398"/>
        <w:spacing w:after="0" w:line="258" w:lineRule="auto"/>
        <w:tabs>
          <w:tab w:leader="none" w:pos="780" w:val="left"/>
        </w:tabs>
        <w:numPr>
          <w:ilvl w:val="0"/>
          <w:numId w:val="214"/>
        </w:numPr>
        <w:rPr>
          <w:rFonts w:ascii="Times New Roman" w:cs="Times New Roman" w:eastAsia="Times New Roman" w:hAnsi="Times New Roman"/>
          <w:sz w:val="22"/>
          <w:szCs w:val="22"/>
          <w:color w:val="333333"/>
        </w:rPr>
      </w:pPr>
      <w:r>
        <w:rPr>
          <w:rFonts w:ascii="Times New Roman" w:cs="Times New Roman" w:eastAsia="Times New Roman" w:hAnsi="Times New Roman"/>
          <w:sz w:val="22"/>
          <w:szCs w:val="22"/>
          <w:color w:val="333333"/>
        </w:rPr>
        <w:t>Registration Statement (Post-Effective Amendment No. 2 to Form S-1 on Form S-3 No. 333-266683) of ProKidney Corp.,</w:t>
      </w:r>
    </w:p>
    <w:p>
      <w:pPr>
        <w:spacing w:after="0" w:line="36" w:lineRule="exact"/>
        <w:rPr>
          <w:rFonts w:ascii="Times New Roman" w:cs="Times New Roman" w:eastAsia="Times New Roman" w:hAnsi="Times New Roman"/>
          <w:sz w:val="22"/>
          <w:szCs w:val="22"/>
          <w:color w:val="333333"/>
        </w:rPr>
      </w:pPr>
    </w:p>
    <w:p>
      <w:pPr>
        <w:ind w:left="780" w:hanging="398"/>
        <w:spacing w:after="0"/>
        <w:tabs>
          <w:tab w:leader="none" w:pos="780" w:val="left"/>
        </w:tabs>
        <w:numPr>
          <w:ilvl w:val="0"/>
          <w:numId w:val="214"/>
        </w:numPr>
        <w:rPr>
          <w:rFonts w:ascii="Times New Roman" w:cs="Times New Roman" w:eastAsia="Times New Roman" w:hAnsi="Times New Roman"/>
          <w:sz w:val="22"/>
          <w:szCs w:val="22"/>
          <w:color w:val="333333"/>
        </w:rPr>
      </w:pPr>
      <w:r>
        <w:rPr>
          <w:rFonts w:ascii="Times New Roman" w:cs="Times New Roman" w:eastAsia="Times New Roman" w:hAnsi="Times New Roman"/>
          <w:sz w:val="22"/>
          <w:szCs w:val="22"/>
          <w:color w:val="333333"/>
        </w:rPr>
        <w:t>Registration Statement (Form S-3 No. 333-275701) of ProKidney Corp.,</w:t>
      </w:r>
    </w:p>
    <w:p>
      <w:pPr>
        <w:spacing w:after="0" w:line="71" w:lineRule="exact"/>
        <w:rPr>
          <w:rFonts w:ascii="Times New Roman" w:cs="Times New Roman" w:eastAsia="Times New Roman" w:hAnsi="Times New Roman"/>
          <w:sz w:val="22"/>
          <w:szCs w:val="22"/>
          <w:color w:val="333333"/>
        </w:rPr>
      </w:pPr>
    </w:p>
    <w:p>
      <w:pPr>
        <w:ind w:left="780" w:right="580" w:hanging="398"/>
        <w:spacing w:after="0" w:line="258" w:lineRule="auto"/>
        <w:tabs>
          <w:tab w:leader="none" w:pos="780" w:val="left"/>
        </w:tabs>
        <w:numPr>
          <w:ilvl w:val="0"/>
          <w:numId w:val="214"/>
        </w:numPr>
        <w:rPr>
          <w:rFonts w:ascii="Times New Roman" w:cs="Times New Roman" w:eastAsia="Times New Roman" w:hAnsi="Times New Roman"/>
          <w:sz w:val="22"/>
          <w:szCs w:val="22"/>
          <w:color w:val="333333"/>
        </w:rPr>
      </w:pPr>
      <w:r>
        <w:rPr>
          <w:rFonts w:ascii="Times New Roman" w:cs="Times New Roman" w:eastAsia="Times New Roman" w:hAnsi="Times New Roman"/>
          <w:sz w:val="22"/>
          <w:szCs w:val="22"/>
          <w:color w:val="333333"/>
        </w:rPr>
        <w:t>Registration Statement (Form S-8 No. 333-267414) pertaining to the ProKidney Corp. 2022 Incentive Equity Plan and the ProKidney Corp. Employee Stock Purchase Plan;</w:t>
      </w:r>
    </w:p>
    <w:p>
      <w:pPr>
        <w:spacing w:after="0" w:line="36" w:lineRule="exact"/>
        <w:rPr>
          <w:rFonts w:ascii="Times New Roman" w:cs="Times New Roman" w:eastAsia="Times New Roman" w:hAnsi="Times New Roman"/>
          <w:sz w:val="22"/>
          <w:szCs w:val="22"/>
          <w:color w:val="333333"/>
        </w:rPr>
      </w:pPr>
    </w:p>
    <w:p>
      <w:pPr>
        <w:ind w:left="780" w:right="1020" w:hanging="398"/>
        <w:spacing w:after="0" w:line="258" w:lineRule="auto"/>
        <w:tabs>
          <w:tab w:leader="none" w:pos="780" w:val="left"/>
        </w:tabs>
        <w:numPr>
          <w:ilvl w:val="0"/>
          <w:numId w:val="214"/>
        </w:numPr>
        <w:rPr>
          <w:rFonts w:ascii="Times New Roman" w:cs="Times New Roman" w:eastAsia="Times New Roman" w:hAnsi="Times New Roman"/>
          <w:sz w:val="22"/>
          <w:szCs w:val="22"/>
          <w:color w:val="333333"/>
        </w:rPr>
      </w:pPr>
      <w:r>
        <w:rPr>
          <w:rFonts w:ascii="Times New Roman" w:cs="Times New Roman" w:eastAsia="Times New Roman" w:hAnsi="Times New Roman"/>
          <w:sz w:val="22"/>
          <w:szCs w:val="22"/>
          <w:color w:val="333333"/>
        </w:rPr>
        <w:t>Registration Statement (Form S-8 No. 333-270920) pertaining to the ProKidney Corp. 2022 Incentive Equity Plan; and</w:t>
      </w:r>
    </w:p>
    <w:p>
      <w:pPr>
        <w:spacing w:after="0" w:line="36" w:lineRule="exact"/>
        <w:rPr>
          <w:rFonts w:ascii="Times New Roman" w:cs="Times New Roman" w:eastAsia="Times New Roman" w:hAnsi="Times New Roman"/>
          <w:sz w:val="22"/>
          <w:szCs w:val="22"/>
          <w:color w:val="333333"/>
        </w:rPr>
      </w:pPr>
    </w:p>
    <w:p>
      <w:pPr>
        <w:ind w:left="780" w:right="1020" w:hanging="398"/>
        <w:spacing w:after="0" w:line="258" w:lineRule="auto"/>
        <w:tabs>
          <w:tab w:leader="none" w:pos="780" w:val="left"/>
        </w:tabs>
        <w:numPr>
          <w:ilvl w:val="0"/>
          <w:numId w:val="214"/>
        </w:numPr>
        <w:rPr>
          <w:rFonts w:ascii="Times New Roman" w:cs="Times New Roman" w:eastAsia="Times New Roman" w:hAnsi="Times New Roman"/>
          <w:sz w:val="22"/>
          <w:szCs w:val="22"/>
          <w:color w:val="333333"/>
        </w:rPr>
      </w:pPr>
      <w:r>
        <w:rPr>
          <w:rFonts w:ascii="Times New Roman" w:cs="Times New Roman" w:eastAsia="Times New Roman" w:hAnsi="Times New Roman"/>
          <w:sz w:val="22"/>
          <w:szCs w:val="22"/>
          <w:color w:val="333333"/>
        </w:rPr>
        <w:t>Registration Statement (Form S-8 No. 333-278176) pertaining to the ProKidney Corp. 2022 Incentive Equity Plan;</w:t>
      </w:r>
    </w:p>
    <w:p>
      <w:pPr>
        <w:spacing w:after="0" w:line="23"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22"/>
          <w:szCs w:val="22"/>
          <w:color w:val="333333"/>
        </w:rPr>
        <w:t>of our report dated March 17, 2025, with respect to the consolidated financial statements of ProKidney Corp. included in this Annual Report (Form 10-K) of ProKidney Corp. for the year ended December 31,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/s/ Ernst &amp; Young LLP</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Raleigh, North Carolina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March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1106170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Culleton, certify that:</w:t>
      </w:r>
    </w:p>
    <w:p>
      <w:pPr>
        <w:spacing w:after="0" w:line="225" w:lineRule="exact"/>
        <w:rPr>
          <w:sz w:val="20"/>
          <w:szCs w:val="20"/>
          <w:color w:val="auto"/>
        </w:rPr>
      </w:pPr>
    </w:p>
    <w:p>
      <w:pPr>
        <w:ind w:left="520" w:hanging="512"/>
        <w:spacing w:after="0"/>
        <w:tabs>
          <w:tab w:leader="none" w:pos="5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ProKidney Corp.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17, 2025</w:t>
            </w:r>
          </w:p>
        </w:tc>
        <w:tc>
          <w:tcPr>
            <w:tcW w:w="76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Bruce Culleton</w:t>
            </w:r>
          </w:p>
        </w:tc>
      </w:tr>
      <w:tr>
        <w:trPr>
          <w:trHeight w:val="191"/>
        </w:trPr>
        <w:tc>
          <w:tcPr>
            <w:tcW w:w="3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Bruce Culleton</w:t>
            </w:r>
          </w:p>
        </w:tc>
      </w:tr>
      <w:tr>
        <w:trPr>
          <w:trHeight w:val="216"/>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79"/>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Coulston, certify that:</w:t>
      </w:r>
    </w:p>
    <w:p>
      <w:pPr>
        <w:spacing w:after="0" w:line="225" w:lineRule="exact"/>
        <w:rPr>
          <w:sz w:val="20"/>
          <w:szCs w:val="20"/>
          <w:color w:val="auto"/>
        </w:rPr>
      </w:pPr>
    </w:p>
    <w:p>
      <w:pPr>
        <w:ind w:left="520" w:hanging="512"/>
        <w:spacing w:after="0"/>
        <w:tabs>
          <w:tab w:leader="none" w:pos="5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ProKidney Corp.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17, 2025</w:t>
            </w:r>
          </w:p>
        </w:tc>
        <w:tc>
          <w:tcPr>
            <w:tcW w:w="76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James Coulston</w:t>
            </w:r>
          </w:p>
        </w:tc>
      </w:tr>
      <w:tr>
        <w:trPr>
          <w:trHeight w:val="191"/>
        </w:trPr>
        <w:tc>
          <w:tcPr>
            <w:tcW w:w="36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James Coulston</w:t>
            </w:r>
          </w:p>
        </w:tc>
      </w:tr>
      <w:tr>
        <w:trPr>
          <w:trHeight w:val="216"/>
        </w:trPr>
        <w:tc>
          <w:tcPr>
            <w:tcW w:w="36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79"/>
        </w:trPr>
        <w:tc>
          <w:tcPr>
            <w:tcW w:w="36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ProKidney Corp., an exempted company registered under the laws of the Cayman Islands (the “Company”) does hereby certify, to such officer’s knowledge that:</w:t>
      </w:r>
    </w:p>
    <w:p>
      <w:pPr>
        <w:spacing w:after="0" w:line="176" w:lineRule="exact"/>
        <w:rPr>
          <w:sz w:val="20"/>
          <w:szCs w:val="20"/>
          <w:color w:val="auto"/>
        </w:rPr>
      </w:pPr>
    </w:p>
    <w:p>
      <w:pPr>
        <w:ind w:left="1020" w:right="120" w:hanging="503"/>
        <w:spacing w:after="0" w:line="282" w:lineRule="auto"/>
        <w:tabs>
          <w:tab w:leader="none" w:pos="10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for the year ended December 31, 2024 (the “Form 10-K”)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17, 2025</w:t>
            </w:r>
          </w:p>
        </w:tc>
        <w:tc>
          <w:tcPr>
            <w:tcW w:w="76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Bruce Culleton</w:t>
            </w:r>
          </w:p>
        </w:tc>
      </w:tr>
      <w:tr>
        <w:trPr>
          <w:trHeight w:val="191"/>
        </w:trPr>
        <w:tc>
          <w:tcPr>
            <w:tcW w:w="35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Bruce Culleton</w:t>
            </w:r>
          </w:p>
        </w:tc>
      </w:tr>
      <w:tr>
        <w:trPr>
          <w:trHeight w:val="216"/>
        </w:trPr>
        <w:tc>
          <w:tcPr>
            <w:tcW w:w="35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843"/>
        </w:trPr>
        <w:tc>
          <w:tcPr>
            <w:tcW w:w="35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ProKidney Corp., an exempted company registered under the laws of the Cayman Islands (the “Company”) does hereby certify, to such officer’s knowledge that:</w:t>
      </w:r>
    </w:p>
    <w:p>
      <w:pPr>
        <w:spacing w:after="0" w:line="176" w:lineRule="exact"/>
        <w:rPr>
          <w:sz w:val="20"/>
          <w:szCs w:val="20"/>
          <w:color w:val="auto"/>
        </w:rPr>
      </w:pPr>
    </w:p>
    <w:p>
      <w:pPr>
        <w:ind w:left="1020" w:right="120" w:hanging="503"/>
        <w:spacing w:after="0" w:line="282" w:lineRule="auto"/>
        <w:tabs>
          <w:tab w:leader="none" w:pos="102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for the year ended December 31, 2024 (the “Form 10-K”)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17, 2025</w:t>
            </w:r>
          </w:p>
        </w:tc>
        <w:tc>
          <w:tcPr>
            <w:tcW w:w="26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Coulston</w:t>
            </w:r>
          </w:p>
        </w:tc>
      </w:tr>
      <w:tr>
        <w:trPr>
          <w:trHeight w:val="191"/>
        </w:trPr>
        <w:tc>
          <w:tcPr>
            <w:tcW w:w="36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Coulston</w:t>
            </w:r>
          </w:p>
        </w:tc>
      </w:tr>
      <w:tr>
        <w:trPr>
          <w:trHeight w:val="216"/>
        </w:trPr>
        <w:tc>
          <w:tcPr>
            <w:tcW w:w="36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843"/>
        </w:trPr>
        <w:tc>
          <w:tcPr>
            <w:tcW w:w="36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9" w:name="page290"/>
    <w:bookmarkEnd w:id="2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7E1B4E"/>
    <w:multiLevelType w:val="hybridMultilevel"/>
    <w:lvl w:ilvl="0">
      <w:lvlJc w:val="left"/>
      <w:lvlText w:val="☒"/>
      <w:numFmt w:val="bullet"/>
      <w:start w:val="1"/>
    </w:lvl>
  </w:abstractNum>
  <w:abstractNum w:abstractNumId="1">
    <w:nsid w:val="51088277"/>
    <w:multiLevelType w:val="hybridMultilevel"/>
    <w:lvl w:ilvl="0">
      <w:lvlJc w:val="left"/>
      <w:lvlText w:val="☐"/>
      <w:numFmt w:val="bullet"/>
      <w:start w:val="1"/>
    </w:lvl>
  </w:abstractNum>
  <w:abstractNum w:abstractNumId="2">
    <w:nsid w:val="1CA0C5FA"/>
    <w:multiLevelType w:val="hybridMultilevel"/>
    <w:lvl w:ilvl="0">
      <w:lvlJc w:val="left"/>
      <w:lvlText w:val="•"/>
      <w:numFmt w:val="bullet"/>
      <w:start w:val="1"/>
    </w:lvl>
  </w:abstractNum>
  <w:abstractNum w:abstractNumId="3">
    <w:nsid w:val="53584BCB"/>
    <w:multiLevelType w:val="hybridMultilevel"/>
    <w:lvl w:ilvl="0">
      <w:lvlJc w:val="left"/>
      <w:lvlText w:val="•"/>
      <w:numFmt w:val="bullet"/>
      <w:start w:val="1"/>
    </w:lvl>
  </w:abstractNum>
  <w:abstractNum w:abstractNumId="4">
    <w:nsid w:val="415E286C"/>
    <w:multiLevelType w:val="hybridMultilevel"/>
    <w:lvl w:ilvl="0">
      <w:lvlJc w:val="left"/>
      <w:lvlText w:val="•"/>
      <w:numFmt w:val="bullet"/>
      <w:start w:val="1"/>
    </w:lvl>
  </w:abstractNum>
  <w:abstractNum w:abstractNumId="5">
    <w:nsid w:val="7C58FD05"/>
    <w:multiLevelType w:val="hybridMultilevel"/>
    <w:lvl w:ilvl="0">
      <w:lvlJc w:val="left"/>
      <w:lvlText w:val="•"/>
      <w:numFmt w:val="bullet"/>
      <w:start w:val="1"/>
    </w:lvl>
  </w:abstractNum>
  <w:abstractNum w:abstractNumId="6">
    <w:nsid w:val="23D86AAC"/>
    <w:multiLevelType w:val="hybridMultilevel"/>
    <w:lvl w:ilvl="0">
      <w:lvlJc w:val="left"/>
      <w:lvlText w:val="•"/>
      <w:numFmt w:val="bullet"/>
      <w:start w:val="1"/>
    </w:lvl>
  </w:abstractNum>
  <w:abstractNum w:abstractNumId="7">
    <w:nsid w:val="45E6D486"/>
    <w:multiLevelType w:val="hybridMultilevel"/>
    <w:lvl w:ilvl="0">
      <w:lvlJc w:val="left"/>
      <w:lvlText w:val="•"/>
      <w:numFmt w:val="bullet"/>
      <w:start w:val="1"/>
    </w:lvl>
  </w:abstractNum>
  <w:abstractNum w:abstractNumId="8">
    <w:nsid w:val="5C10FE21"/>
    <w:multiLevelType w:val="hybridMultilevel"/>
    <w:lvl w:ilvl="0">
      <w:lvlJc w:val="left"/>
      <w:lvlText w:val="•"/>
      <w:numFmt w:val="bullet"/>
      <w:start w:val="1"/>
    </w:lvl>
  </w:abstractNum>
  <w:abstractNum w:abstractNumId="9">
    <w:nsid w:val="E7FFA2B"/>
    <w:multiLevelType w:val="hybridMultilevel"/>
    <w:lvl w:ilvl="0">
      <w:lvlJc w:val="left"/>
      <w:lvlText w:val="•"/>
      <w:numFmt w:val="bullet"/>
      <w:start w:val="1"/>
    </w:lvl>
  </w:abstractNum>
  <w:abstractNum w:abstractNumId="10">
    <w:nsid w:val="3C5991AA"/>
    <w:multiLevelType w:val="hybridMultilevel"/>
    <w:lvl w:ilvl="0">
      <w:lvlJc w:val="left"/>
      <w:lvlText w:val="•"/>
      <w:numFmt w:val="bullet"/>
      <w:start w:val="1"/>
    </w:lvl>
  </w:abstractNum>
  <w:abstractNum w:abstractNumId="11">
    <w:nsid w:val="4BD8591A"/>
    <w:multiLevelType w:val="hybridMultilevel"/>
    <w:lvl w:ilvl="0">
      <w:lvlJc w:val="left"/>
      <w:lvlText w:val="•"/>
      <w:numFmt w:val="bullet"/>
      <w:start w:val="1"/>
    </w:lvl>
  </w:abstractNum>
  <w:abstractNum w:abstractNumId="12">
    <w:nsid w:val="78DF6A55"/>
    <w:multiLevelType w:val="hybridMultilevel"/>
    <w:lvl w:ilvl="0">
      <w:lvlJc w:val="left"/>
      <w:lvlText w:val="(%1)"/>
      <w:numFmt w:val="decimal"/>
      <w:start w:val="1"/>
    </w:lvl>
  </w:abstractNum>
  <w:abstractNum w:abstractNumId="13">
    <w:nsid w:val="39B7AAA2"/>
    <w:multiLevelType w:val="hybridMultilevel"/>
    <w:lvl w:ilvl="0">
      <w:lvlJc w:val="left"/>
      <w:lvlText w:val="•"/>
      <w:numFmt w:val="bullet"/>
      <w:start w:val="1"/>
    </w:lvl>
    <w:lvl w:ilvl="1">
      <w:lvlJc w:val="left"/>
      <w:lvlText w:val="•"/>
      <w:numFmt w:val="bullet"/>
      <w:start w:val="1"/>
    </w:lvl>
  </w:abstractNum>
  <w:abstractNum w:abstractNumId="14">
    <w:nsid w:val="2B0D8DBE"/>
    <w:multiLevelType w:val="hybridMultilevel"/>
    <w:lvl w:ilvl="0">
      <w:lvlJc w:val="left"/>
      <w:lvlText w:val="•"/>
      <w:numFmt w:val="bullet"/>
      <w:start w:val="1"/>
    </w:lvl>
  </w:abstractNum>
  <w:abstractNum w:abstractNumId="15">
    <w:nsid w:val="6C80EC70"/>
    <w:multiLevelType w:val="hybridMultilevel"/>
    <w:lvl w:ilvl="0">
      <w:lvlJc w:val="left"/>
      <w:lvlText w:val="•"/>
      <w:numFmt w:val="bullet"/>
      <w:start w:val="1"/>
    </w:lvl>
  </w:abstractNum>
  <w:abstractNum w:abstractNumId="16">
    <w:nsid w:val="379E21B5"/>
    <w:multiLevelType w:val="hybridMultilevel"/>
    <w:lvl w:ilvl="0">
      <w:lvlJc w:val="left"/>
      <w:lvlText w:val="•"/>
      <w:numFmt w:val="bullet"/>
      <w:start w:val="1"/>
    </w:lvl>
  </w:abstractNum>
  <w:abstractNum w:abstractNumId="17">
    <w:nsid w:val="69E373"/>
    <w:multiLevelType w:val="hybridMultilevel"/>
    <w:lvl w:ilvl="0">
      <w:lvlJc w:val="left"/>
      <w:lvlText w:val="•"/>
      <w:numFmt w:val="bullet"/>
      <w:start w:val="1"/>
    </w:lvl>
  </w:abstractNum>
  <w:abstractNum w:abstractNumId="18">
    <w:nsid w:val="2C27173B"/>
    <w:multiLevelType w:val="hybridMultilevel"/>
    <w:lvl w:ilvl="0">
      <w:lvlJc w:val="left"/>
      <w:lvlText w:val="•"/>
      <w:numFmt w:val="bullet"/>
      <w:start w:val="1"/>
    </w:lvl>
  </w:abstractNum>
  <w:abstractNum w:abstractNumId="19">
    <w:nsid w:val="4C9B0904"/>
    <w:multiLevelType w:val="hybridMultilevel"/>
    <w:lvl w:ilvl="0">
      <w:lvlJc w:val="left"/>
      <w:lvlText w:val="•"/>
      <w:numFmt w:val="bullet"/>
      <w:start w:val="1"/>
    </w:lvl>
  </w:abstractNum>
  <w:abstractNum w:abstractNumId="20">
    <w:nsid w:val="6AA7B75C"/>
    <w:multiLevelType w:val="hybridMultilevel"/>
    <w:lvl w:ilvl="0">
      <w:lvlJc w:val="left"/>
      <w:lvlText w:val="•"/>
      <w:numFmt w:val="bullet"/>
      <w:start w:val="1"/>
    </w:lvl>
  </w:abstractNum>
  <w:abstractNum w:abstractNumId="21">
    <w:nsid w:val="1DF029D3"/>
    <w:multiLevelType w:val="hybridMultilevel"/>
    <w:lvl w:ilvl="0">
      <w:lvlJc w:val="left"/>
      <w:lvlText w:val="•"/>
      <w:numFmt w:val="bullet"/>
      <w:start w:val="1"/>
    </w:lvl>
  </w:abstractNum>
  <w:abstractNum w:abstractNumId="22">
    <w:nsid w:val="5675FF36"/>
    <w:multiLevelType w:val="hybridMultilevel"/>
    <w:lvl w:ilvl="0">
      <w:lvlJc w:val="left"/>
      <w:lvlText w:val="•"/>
      <w:numFmt w:val="bullet"/>
      <w:start w:val="1"/>
    </w:lvl>
  </w:abstractNum>
  <w:abstractNum w:abstractNumId="23">
    <w:nsid w:val="3DD15094"/>
    <w:multiLevelType w:val="hybridMultilevel"/>
    <w:lvl w:ilvl="0">
      <w:lvlJc w:val="left"/>
      <w:lvlText w:val="•"/>
      <w:numFmt w:val="bullet"/>
      <w:start w:val="1"/>
    </w:lvl>
  </w:abstractNum>
  <w:abstractNum w:abstractNumId="24">
    <w:nsid w:val="3DB012B3"/>
    <w:multiLevelType w:val="hybridMultilevel"/>
    <w:lvl w:ilvl="0">
      <w:lvlJc w:val="left"/>
      <w:lvlText w:val="•"/>
      <w:numFmt w:val="bullet"/>
      <w:start w:val="1"/>
    </w:lvl>
  </w:abstractNum>
  <w:abstractNum w:abstractNumId="25">
    <w:nsid w:val="2708C9AF"/>
    <w:multiLevelType w:val="hybridMultilevel"/>
    <w:lvl w:ilvl="0">
      <w:lvlJc w:val="left"/>
      <w:lvlText w:val="•"/>
      <w:numFmt w:val="bullet"/>
      <w:start w:val="1"/>
    </w:lvl>
  </w:abstractNum>
  <w:abstractNum w:abstractNumId="26">
    <w:nsid w:val="5B25ACE2"/>
    <w:multiLevelType w:val="hybridMultilevel"/>
    <w:lvl w:ilvl="0">
      <w:lvlJc w:val="left"/>
      <w:lvlText w:val="•"/>
      <w:numFmt w:val="bullet"/>
      <w:start w:val="1"/>
    </w:lvl>
  </w:abstractNum>
  <w:abstractNum w:abstractNumId="27">
    <w:nsid w:val="175DFCF0"/>
    <w:multiLevelType w:val="hybridMultilevel"/>
    <w:lvl w:ilvl="0">
      <w:lvlJc w:val="left"/>
      <w:lvlText w:val="•"/>
      <w:numFmt w:val="bullet"/>
      <w:start w:val="1"/>
    </w:lvl>
  </w:abstractNum>
  <w:abstractNum w:abstractNumId="28">
    <w:nsid w:val="4F97E3E4"/>
    <w:multiLevelType w:val="hybridMultilevel"/>
    <w:lvl w:ilvl="0">
      <w:lvlJc w:val="left"/>
      <w:lvlText w:val="•"/>
      <w:numFmt w:val="bullet"/>
      <w:start w:val="1"/>
    </w:lvl>
  </w:abstractNum>
  <w:abstractNum w:abstractNumId="29">
    <w:nsid w:val="53B0A9E"/>
    <w:multiLevelType w:val="hybridMultilevel"/>
    <w:lvl w:ilvl="0">
      <w:lvlJc w:val="left"/>
      <w:lvlText w:val="•"/>
      <w:numFmt w:val="bullet"/>
      <w:start w:val="1"/>
    </w:lvl>
  </w:abstractNum>
  <w:abstractNum w:abstractNumId="30">
    <w:nsid w:val="34FD6B4F"/>
    <w:multiLevelType w:val="hybridMultilevel"/>
    <w:lvl w:ilvl="0">
      <w:lvlJc w:val="left"/>
      <w:lvlText w:val="•"/>
      <w:numFmt w:val="bullet"/>
      <w:start w:val="1"/>
    </w:lvl>
  </w:abstractNum>
  <w:abstractNum w:abstractNumId="31">
    <w:nsid w:val="5915FF32"/>
    <w:multiLevelType w:val="hybridMultilevel"/>
    <w:lvl w:ilvl="0">
      <w:lvlJc w:val="left"/>
      <w:lvlText w:val="•"/>
      <w:numFmt w:val="bullet"/>
      <w:start w:val="1"/>
    </w:lvl>
  </w:abstractNum>
  <w:abstractNum w:abstractNumId="32">
    <w:nsid w:val="56438D15"/>
    <w:multiLevelType w:val="hybridMultilevel"/>
    <w:lvl w:ilvl="0">
      <w:lvlJc w:val="left"/>
      <w:lvlText w:val="•"/>
      <w:numFmt w:val="bullet"/>
      <w:start w:val="1"/>
    </w:lvl>
  </w:abstractNum>
  <w:abstractNum w:abstractNumId="33">
    <w:nsid w:val="519E3149"/>
    <w:multiLevelType w:val="hybridMultilevel"/>
    <w:lvl w:ilvl="0">
      <w:lvlJc w:val="left"/>
      <w:lvlText w:val="•"/>
      <w:numFmt w:val="bullet"/>
      <w:start w:val="1"/>
    </w:lvl>
  </w:abstractNum>
  <w:abstractNum w:abstractNumId="34">
    <w:nsid w:val="2C6E4AFD"/>
    <w:multiLevelType w:val="hybridMultilevel"/>
    <w:lvl w:ilvl="0">
      <w:lvlJc w:val="left"/>
      <w:lvlText w:val="•"/>
      <w:numFmt w:val="bullet"/>
      <w:start w:val="1"/>
    </w:lvl>
  </w:abstractNum>
  <w:abstractNum w:abstractNumId="35">
    <w:nsid w:val="17A1B582"/>
    <w:multiLevelType w:val="hybridMultilevel"/>
    <w:lvl w:ilvl="0">
      <w:lvlJc w:val="left"/>
      <w:lvlText w:val="•"/>
      <w:numFmt w:val="bullet"/>
      <w:start w:val="1"/>
    </w:lvl>
  </w:abstractNum>
  <w:abstractNum w:abstractNumId="36">
    <w:nsid w:val="4DF72E4E"/>
    <w:multiLevelType w:val="hybridMultilevel"/>
    <w:lvl w:ilvl="0">
      <w:lvlJc w:val="left"/>
      <w:lvlText w:val="•"/>
      <w:numFmt w:val="bullet"/>
      <w:start w:val="1"/>
    </w:lvl>
  </w:abstractNum>
  <w:abstractNum w:abstractNumId="37">
    <w:nsid w:val="5046B5A9"/>
    <w:multiLevelType w:val="hybridMultilevel"/>
    <w:lvl w:ilvl="0">
      <w:lvlJc w:val="left"/>
      <w:lvlText w:val="•"/>
      <w:numFmt w:val="bullet"/>
      <w:start w:val="1"/>
    </w:lvl>
  </w:abstractNum>
  <w:abstractNum w:abstractNumId="38">
    <w:nsid w:val="5D888A08"/>
    <w:multiLevelType w:val="hybridMultilevel"/>
    <w:lvl w:ilvl="0">
      <w:lvlJc w:val="left"/>
      <w:lvlText w:val="•"/>
      <w:numFmt w:val="bullet"/>
      <w:start w:val="1"/>
    </w:lvl>
  </w:abstractNum>
  <w:abstractNum w:abstractNumId="39">
    <w:nsid w:val="2A082C70"/>
    <w:multiLevelType w:val="hybridMultilevel"/>
    <w:lvl w:ilvl="0">
      <w:lvlJc w:val="left"/>
      <w:lvlText w:val="•"/>
      <w:numFmt w:val="bullet"/>
      <w:start w:val="1"/>
    </w:lvl>
  </w:abstractNum>
  <w:abstractNum w:abstractNumId="40">
    <w:nsid w:val="5EC6AFD4"/>
    <w:multiLevelType w:val="hybridMultilevel"/>
    <w:lvl w:ilvl="0">
      <w:lvlJc w:val="left"/>
      <w:lvlText w:val="•"/>
      <w:numFmt w:val="bullet"/>
      <w:start w:val="1"/>
    </w:lvl>
  </w:abstractNum>
  <w:abstractNum w:abstractNumId="41">
    <w:nsid w:val="19E21BB2"/>
    <w:multiLevelType w:val="hybridMultilevel"/>
    <w:lvl w:ilvl="0">
      <w:lvlJc w:val="left"/>
      <w:lvlText w:val="•"/>
      <w:numFmt w:val="bullet"/>
      <w:start w:val="1"/>
    </w:lvl>
  </w:abstractNum>
  <w:abstractNum w:abstractNumId="42">
    <w:nsid w:val="75E0858A"/>
    <w:multiLevelType w:val="hybridMultilevel"/>
    <w:lvl w:ilvl="0">
      <w:lvlJc w:val="left"/>
      <w:lvlText w:val="•"/>
      <w:numFmt w:val="bullet"/>
      <w:start w:val="1"/>
    </w:lvl>
  </w:abstractNum>
  <w:abstractNum w:abstractNumId="43">
    <w:nsid w:val="57A61A29"/>
    <w:multiLevelType w:val="hybridMultilevel"/>
    <w:lvl w:ilvl="0">
      <w:lvlJc w:val="left"/>
      <w:lvlText w:val="•"/>
      <w:numFmt w:val="bullet"/>
      <w:start w:val="1"/>
    </w:lvl>
  </w:abstractNum>
  <w:abstractNum w:abstractNumId="44">
    <w:nsid w:val="5399C654"/>
    <w:multiLevelType w:val="hybridMultilevel"/>
    <w:lvl w:ilvl="0">
      <w:lvlJc w:val="left"/>
      <w:lvlText w:val="•"/>
      <w:numFmt w:val="bullet"/>
      <w:start w:val="1"/>
    </w:lvl>
  </w:abstractNum>
  <w:abstractNum w:abstractNumId="45">
    <w:nsid w:val="20EE1348"/>
    <w:multiLevelType w:val="hybridMultilevel"/>
    <w:lvl w:ilvl="0">
      <w:lvlJc w:val="left"/>
      <w:lvlText w:val="•"/>
      <w:numFmt w:val="bullet"/>
      <w:start w:val="1"/>
    </w:lvl>
  </w:abstractNum>
  <w:abstractNum w:abstractNumId="46">
    <w:nsid w:val="4427069A"/>
    <w:multiLevelType w:val="hybridMultilevel"/>
    <w:lvl w:ilvl="0">
      <w:lvlJc w:val="left"/>
      <w:lvlText w:val="•"/>
      <w:numFmt w:val="bullet"/>
      <w:start w:val="1"/>
    </w:lvl>
  </w:abstractNum>
  <w:abstractNum w:abstractNumId="47">
    <w:nsid w:val="B37E80A"/>
    <w:multiLevelType w:val="hybridMultilevel"/>
    <w:lvl w:ilvl="0">
      <w:lvlJc w:val="left"/>
      <w:lvlText w:val="•"/>
      <w:numFmt w:val="bullet"/>
      <w:start w:val="1"/>
    </w:lvl>
  </w:abstractNum>
  <w:abstractNum w:abstractNumId="48">
    <w:nsid w:val="2157F6BC"/>
    <w:multiLevelType w:val="hybridMultilevel"/>
    <w:lvl w:ilvl="0">
      <w:lvlJc w:val="left"/>
      <w:lvlText w:val="•"/>
      <w:numFmt w:val="bullet"/>
      <w:start w:val="1"/>
    </w:lvl>
  </w:abstractNum>
  <w:abstractNum w:abstractNumId="49">
    <w:nsid w:val="704E1DD5"/>
    <w:multiLevelType w:val="hybridMultilevel"/>
    <w:lvl w:ilvl="0">
      <w:lvlJc w:val="left"/>
      <w:lvlText w:val="•"/>
      <w:numFmt w:val="bullet"/>
      <w:start w:val="1"/>
    </w:lvl>
  </w:abstractNum>
  <w:abstractNum w:abstractNumId="50">
    <w:nsid w:val="57D2F10E"/>
    <w:multiLevelType w:val="hybridMultilevel"/>
    <w:lvl w:ilvl="0">
      <w:lvlJc w:val="left"/>
      <w:lvlText w:val="•"/>
      <w:numFmt w:val="bullet"/>
      <w:start w:val="1"/>
    </w:lvl>
  </w:abstractNum>
  <w:abstractNum w:abstractNumId="51">
    <w:nsid w:val="BFFAE18"/>
    <w:multiLevelType w:val="hybridMultilevel"/>
    <w:lvl w:ilvl="0">
      <w:lvlJc w:val="left"/>
      <w:lvlText w:val="•"/>
      <w:numFmt w:val="bullet"/>
      <w:start w:val="1"/>
    </w:lvl>
  </w:abstractNum>
  <w:abstractNum w:abstractNumId="52">
    <w:nsid w:val="E3E47A8"/>
    <w:multiLevelType w:val="hybridMultilevel"/>
    <w:lvl w:ilvl="0">
      <w:lvlJc w:val="left"/>
      <w:lvlText w:val="•"/>
      <w:numFmt w:val="bullet"/>
      <w:start w:val="1"/>
    </w:lvl>
  </w:abstractNum>
  <w:abstractNum w:abstractNumId="53">
    <w:nsid w:val="2E48F044"/>
    <w:multiLevelType w:val="hybridMultilevel"/>
    <w:lvl w:ilvl="0">
      <w:lvlJc w:val="left"/>
      <w:lvlText w:val="•"/>
      <w:numFmt w:val="bullet"/>
      <w:start w:val="1"/>
    </w:lvl>
  </w:abstractNum>
  <w:abstractNum w:abstractNumId="54">
    <w:nsid w:val="49D0FEAC"/>
    <w:multiLevelType w:val="hybridMultilevel"/>
    <w:lvl w:ilvl="0">
      <w:lvlJc w:val="left"/>
      <w:lvlText w:val="•"/>
      <w:numFmt w:val="bullet"/>
      <w:start w:val="1"/>
    </w:lvl>
  </w:abstractNum>
  <w:abstractNum w:abstractNumId="55">
    <w:nsid w:val="4BEE5A5B"/>
    <w:multiLevelType w:val="hybridMultilevel"/>
    <w:lvl w:ilvl="0">
      <w:lvlJc w:val="left"/>
      <w:lvlText w:val="•"/>
      <w:numFmt w:val="bullet"/>
      <w:start w:val="1"/>
    </w:lvl>
  </w:abstractNum>
  <w:abstractNum w:abstractNumId="56">
    <w:nsid w:val="5551B9F3"/>
    <w:multiLevelType w:val="hybridMultilevel"/>
    <w:lvl w:ilvl="0">
      <w:lvlJc w:val="left"/>
      <w:lvlText w:val="•"/>
      <w:numFmt w:val="bullet"/>
      <w:start w:val="1"/>
    </w:lvl>
  </w:abstractNum>
  <w:abstractNum w:abstractNumId="57">
    <w:nsid w:val="24F6AB8E"/>
    <w:multiLevelType w:val="hybridMultilevel"/>
    <w:lvl w:ilvl="0">
      <w:lvlJc w:val="left"/>
      <w:lvlText w:val="•"/>
      <w:numFmt w:val="bullet"/>
      <w:start w:val="1"/>
    </w:lvl>
  </w:abstractNum>
  <w:abstractNum w:abstractNumId="58">
    <w:nsid w:val="634C574C"/>
    <w:multiLevelType w:val="hybridMultilevel"/>
    <w:lvl w:ilvl="0">
      <w:lvlJc w:val="left"/>
      <w:lvlText w:val="•"/>
      <w:numFmt w:val="bullet"/>
      <w:start w:val="1"/>
    </w:lvl>
  </w:abstractNum>
  <w:abstractNum w:abstractNumId="59">
    <w:nsid w:val="24E99DD7"/>
    <w:multiLevelType w:val="hybridMultilevel"/>
    <w:lvl w:ilvl="0">
      <w:lvlJc w:val="left"/>
      <w:lvlText w:val="•"/>
      <w:numFmt w:val="bullet"/>
      <w:start w:val="1"/>
    </w:lvl>
  </w:abstractNum>
  <w:abstractNum w:abstractNumId="60">
    <w:nsid w:val="2A31B62D"/>
    <w:multiLevelType w:val="hybridMultilevel"/>
    <w:lvl w:ilvl="0">
      <w:lvlJc w:val="left"/>
      <w:lvlText w:val="•"/>
      <w:numFmt w:val="bullet"/>
      <w:start w:val="1"/>
    </w:lvl>
  </w:abstractNum>
  <w:abstractNum w:abstractNumId="61">
    <w:nsid w:val="1849C29B"/>
    <w:multiLevelType w:val="hybridMultilevel"/>
    <w:lvl w:ilvl="0">
      <w:lvlJc w:val="left"/>
      <w:lvlText w:val="•"/>
      <w:numFmt w:val="bullet"/>
      <w:start w:val="1"/>
    </w:lvl>
  </w:abstractNum>
  <w:abstractNum w:abstractNumId="62">
    <w:nsid w:val="7DFF9D09"/>
    <w:multiLevelType w:val="hybridMultilevel"/>
    <w:lvl w:ilvl="0">
      <w:lvlJc w:val="left"/>
      <w:lvlText w:val="•"/>
      <w:numFmt w:val="bullet"/>
      <w:start w:val="1"/>
    </w:lvl>
  </w:abstractNum>
  <w:abstractNum w:abstractNumId="63">
    <w:nsid w:val="754342"/>
    <w:multiLevelType w:val="hybridMultilevel"/>
    <w:lvl w:ilvl="0">
      <w:lvlJc w:val="left"/>
      <w:lvlText w:val="•"/>
      <w:numFmt w:val="bullet"/>
      <w:start w:val="1"/>
    </w:lvl>
  </w:abstractNum>
  <w:abstractNum w:abstractNumId="64">
    <w:nsid w:val="69E7F3E5"/>
    <w:multiLevelType w:val="hybridMultilevel"/>
    <w:lvl w:ilvl="0">
      <w:lvlJc w:val="left"/>
      <w:lvlText w:val="•"/>
      <w:numFmt w:val="bullet"/>
      <w:start w:val="1"/>
    </w:lvl>
  </w:abstractNum>
  <w:abstractNum w:abstractNumId="65">
    <w:nsid w:val="2A6DE806"/>
    <w:multiLevelType w:val="hybridMultilevel"/>
    <w:lvl w:ilvl="0">
      <w:lvlJc w:val="left"/>
      <w:lvlText w:val="•"/>
      <w:numFmt w:val="bullet"/>
      <w:start w:val="1"/>
    </w:lvl>
  </w:abstractNum>
  <w:abstractNum w:abstractNumId="66">
    <w:nsid w:val="1816F8C4"/>
    <w:multiLevelType w:val="hybridMultilevel"/>
    <w:lvl w:ilvl="0">
      <w:lvlJc w:val="left"/>
      <w:lvlText w:val="•"/>
      <w:numFmt w:val="bullet"/>
      <w:start w:val="1"/>
    </w:lvl>
  </w:abstractNum>
  <w:abstractNum w:abstractNumId="67">
    <w:nsid w:val="37DF2233"/>
    <w:multiLevelType w:val="hybridMultilevel"/>
    <w:lvl w:ilvl="0">
      <w:lvlJc w:val="left"/>
      <w:lvlText w:val="%1."/>
      <w:numFmt w:val="decimal"/>
      <w:start w:val="1"/>
    </w:lvl>
  </w:abstractNum>
  <w:abstractNum w:abstractNumId="68">
    <w:nsid w:val="7AB49DAF"/>
    <w:multiLevelType w:val="hybridMultilevel"/>
    <w:lvl w:ilvl="0">
      <w:lvlJc w:val="left"/>
      <w:lvlText w:val="•"/>
      <w:numFmt w:val="bullet"/>
      <w:start w:val="1"/>
    </w:lvl>
  </w:abstractNum>
  <w:abstractNum w:abstractNumId="69">
    <w:nsid w:val="759F82CD"/>
    <w:multiLevelType w:val="hybridMultilevel"/>
    <w:lvl w:ilvl="0">
      <w:lvlJc w:val="left"/>
      <w:lvlText w:val="(%1)"/>
      <w:numFmt w:val="lowerRoman"/>
      <w:start w:val="2"/>
    </w:lvl>
  </w:abstractNum>
  <w:abstractNum w:abstractNumId="70">
    <w:nsid w:val="61E74EA3"/>
    <w:multiLevelType w:val="hybridMultilevel"/>
    <w:lvl w:ilvl="0">
      <w:lvlJc w:val="left"/>
      <w:lvlText w:val="%1"/>
      <w:numFmt w:val="decimal"/>
      <w:start w:val="12"/>
    </w:lvl>
  </w:abstractNum>
  <w:abstractNum w:abstractNumId="71">
    <w:nsid w:val="597B4D84"/>
    <w:multiLevelType w:val="hybridMultilevel"/>
    <w:lvl w:ilvl="0">
      <w:lvlJc w:val="left"/>
      <w:lvlText w:val="(%1)"/>
      <w:numFmt w:val="decimal"/>
      <w:start w:val="1"/>
    </w:lvl>
  </w:abstractNum>
  <w:abstractNum w:abstractNumId="72">
    <w:nsid w:val="F819E7F"/>
    <w:multiLevelType w:val="hybridMultilevel"/>
    <w:lvl w:ilvl="0">
      <w:lvlJc w:val="left"/>
      <w:lvlText w:val="(%1)"/>
      <w:numFmt w:val="decimal"/>
      <w:start w:val="2"/>
    </w:lvl>
  </w:abstractNum>
  <w:abstractNum w:abstractNumId="73">
    <w:nsid w:val="57C7D42D"/>
    <w:multiLevelType w:val="hybridMultilevel"/>
    <w:lvl w:ilvl="0">
      <w:lvlJc w:val="left"/>
      <w:lvlText w:val="(%1)"/>
      <w:numFmt w:val="decimal"/>
      <w:start w:val="1"/>
    </w:lvl>
  </w:abstractNum>
  <w:abstractNum w:abstractNumId="74">
    <w:nsid w:val="312167AD"/>
    <w:multiLevelType w:val="hybridMultilevel"/>
    <w:lvl w:ilvl="0">
      <w:lvlJc w:val="left"/>
      <w:lvlText w:val="•"/>
      <w:numFmt w:val="bullet"/>
      <w:start w:val="1"/>
    </w:lvl>
  </w:abstractNum>
  <w:abstractNum w:abstractNumId="75">
    <w:nsid w:val="631B64D4"/>
    <w:multiLevelType w:val="hybridMultilevel"/>
    <w:lvl w:ilvl="0">
      <w:lvlJc w:val="left"/>
      <w:lvlText w:val="•"/>
      <w:numFmt w:val="bullet"/>
      <w:start w:val="1"/>
    </w:lvl>
  </w:abstractNum>
  <w:abstractNum w:abstractNumId="76">
    <w:nsid w:val="78B5E776"/>
    <w:multiLevelType w:val="hybridMultilevel"/>
    <w:lvl w:ilvl="0">
      <w:lvlJc w:val="left"/>
      <w:lvlText w:val="•"/>
      <w:numFmt w:val="bullet"/>
      <w:start w:val="1"/>
    </w:lvl>
  </w:abstractNum>
  <w:abstractNum w:abstractNumId="77">
    <w:nsid w:val="75486E47"/>
    <w:multiLevelType w:val="hybridMultilevel"/>
    <w:lvl w:ilvl="0">
      <w:lvlJc w:val="left"/>
      <w:lvlText w:val="*"/>
      <w:numFmt w:val="bullet"/>
      <w:start w:val="1"/>
    </w:lvl>
  </w:abstractNum>
  <w:abstractNum w:abstractNumId="78">
    <w:nsid w:val="6E534CDE"/>
    <w:multiLevelType w:val="hybridMultilevel"/>
    <w:lvl w:ilvl="0">
      <w:lvlJc w:val="left"/>
      <w:lvlText w:val="**"/>
      <w:numFmt w:val="bullet"/>
      <w:start w:val="1"/>
    </w:lvl>
    <w:lvl w:ilvl="1">
      <w:lvlJc w:val="left"/>
      <w:lvlText w:val="(%2)"/>
      <w:numFmt w:val="decimal"/>
      <w:start w:val="1"/>
    </w:lvl>
  </w:abstractNum>
  <w:abstractNum w:abstractNumId="79">
    <w:nsid w:val="1A0DDE32"/>
    <w:multiLevelType w:val="hybridMultilevel"/>
    <w:lvl w:ilvl="0">
      <w:lvlJc w:val="left"/>
      <w:lvlText w:val="(%1)"/>
      <w:numFmt w:val="decimal"/>
      <w:start w:val="14"/>
    </w:lvl>
  </w:abstractNum>
  <w:abstractNum w:abstractNumId="80">
    <w:nsid w:val="65968C1C"/>
    <w:multiLevelType w:val="hybridMultilevel"/>
    <w:lvl w:ilvl="0">
      <w:lvlJc w:val="left"/>
      <w:lvlText w:val="(%1)"/>
      <w:numFmt w:val="decimal"/>
      <w:start w:val="1"/>
    </w:lvl>
  </w:abstractNum>
  <w:abstractNum w:abstractNumId="81">
    <w:nsid w:val="46263DEC"/>
    <w:multiLevelType w:val="hybridMultilevel"/>
    <w:lvl w:ilvl="0">
      <w:lvlJc w:val="left"/>
      <w:lvlText w:val="(%1)"/>
      <w:numFmt w:val="decimal"/>
      <w:start w:val="90"/>
    </w:lvl>
  </w:abstractNum>
  <w:abstractNum w:abstractNumId="82">
    <w:nsid w:val="260D8C4A"/>
    <w:multiLevelType w:val="hybridMultilevel"/>
    <w:lvl w:ilvl="0">
      <w:lvlJc w:val="left"/>
      <w:lvlText w:val="•"/>
      <w:numFmt w:val="bullet"/>
      <w:start w:val="1"/>
    </w:lvl>
  </w:abstractNum>
  <w:abstractNum w:abstractNumId="83">
    <w:nsid w:val="73D4D3C4"/>
    <w:multiLevelType w:val="hybridMultilevel"/>
    <w:lvl w:ilvl="0">
      <w:lvlJc w:val="left"/>
      <w:lvlText w:val="•"/>
      <w:numFmt w:val="bullet"/>
      <w:start w:val="1"/>
    </w:lvl>
  </w:abstractNum>
  <w:abstractNum w:abstractNumId="84">
    <w:nsid w:val="746F2E30"/>
    <w:multiLevelType w:val="hybridMultilevel"/>
    <w:lvl w:ilvl="0">
      <w:lvlJc w:val="left"/>
      <w:lvlText w:val="(%1)"/>
      <w:numFmt w:val="decimal"/>
      <w:start w:val="1"/>
    </w:lvl>
  </w:abstractNum>
  <w:abstractNum w:abstractNumId="85">
    <w:nsid w:val="6FDE8AF6"/>
    <w:multiLevelType w:val="hybridMultilevel"/>
    <w:lvl w:ilvl="0">
      <w:lvlJc w:val="left"/>
      <w:lvlText w:val="%1"/>
      <w:numFmt w:val="decimal"/>
      <w:start w:val="97"/>
    </w:lvl>
  </w:abstractNum>
  <w:abstractNum w:abstractNumId="86">
    <w:nsid w:val="3FC32E20"/>
    <w:multiLevelType w:val="hybridMultilevel"/>
    <w:lvl w:ilvl="0">
      <w:lvlJc w:val="left"/>
      <w:lvlText w:val="*"/>
      <w:numFmt w:val="bullet"/>
      <w:start w:val="1"/>
    </w:lvl>
    <w:lvl w:ilvl="1">
      <w:lvlJc w:val="left"/>
      <w:lvlText w:val="†"/>
      <w:numFmt w:val="bullet"/>
      <w:start w:val="1"/>
    </w:lvl>
  </w:abstractNum>
  <w:abstractNum w:abstractNumId="87">
    <w:nsid w:val="49C0E823"/>
    <w:multiLevelType w:val="hybridMultilevel"/>
    <w:lvl w:ilvl="0">
      <w:lvlJc w:val="left"/>
      <w:lvlText w:val="(%1)"/>
      <w:numFmt w:val="decimal"/>
      <w:start w:val="1"/>
    </w:lvl>
  </w:abstractNum>
  <w:abstractNum w:abstractNumId="88">
    <w:nsid w:val="14D53685"/>
    <w:multiLevelType w:val="hybridMultilevel"/>
    <w:lvl w:ilvl="0">
      <w:lvlJc w:val="left"/>
      <w:lvlText w:val="•"/>
      <w:numFmt w:val="bullet"/>
      <w:start w:val="1"/>
    </w:lvl>
  </w:abstractNum>
  <w:abstractNum w:abstractNumId="89">
    <w:nsid w:val="230F856C"/>
    <w:multiLevelType w:val="hybridMultilevel"/>
    <w:lvl w:ilvl="0">
      <w:lvlJc w:val="left"/>
      <w:lvlText w:val="(%1)"/>
      <w:numFmt w:val="decimal"/>
      <w:start w:val="90"/>
    </w:lvl>
  </w:abstractNum>
  <w:abstractNum w:abstractNumId="90">
    <w:nsid w:val="6EAA85FB"/>
    <w:multiLevelType w:val="hybridMultilevel"/>
    <w:lvl w:ilvl="0">
      <w:lvlJc w:val="left"/>
      <w:lvlText w:val="(%1)"/>
      <w:numFmt w:val="decimal"/>
      <w:start w:val="1"/>
    </w:lvl>
  </w:abstractNum>
  <w:abstractNum w:abstractNumId="91">
    <w:nsid w:val="3F06ECB2"/>
    <w:multiLevelType w:val="hybridMultilevel"/>
    <w:lvl w:ilvl="0">
      <w:lvlJc w:val="left"/>
      <w:lvlText w:val="●"/>
      <w:numFmt w:val="bullet"/>
      <w:start w:val="1"/>
    </w:lvl>
  </w:abstractNum>
  <w:abstractNum w:abstractNumId="92">
    <w:nsid w:val="3B594807"/>
    <w:multiLevelType w:val="hybridMultilevel"/>
    <w:lvl w:ilvl="0">
      <w:lvlJc w:val="left"/>
      <w:lvlText w:val="●"/>
      <w:numFmt w:val="bullet"/>
      <w:start w:val="1"/>
    </w:lvl>
  </w:abstractNum>
  <w:abstractNum w:abstractNumId="93">
    <w:nsid w:val="6CAA2304"/>
    <w:multiLevelType w:val="hybridMultilevel"/>
    <w:lvl w:ilvl="0">
      <w:lvlJc w:val="left"/>
      <w:lvlText w:val="•"/>
      <w:numFmt w:val="bullet"/>
      <w:start w:val="1"/>
    </w:lvl>
  </w:abstractNum>
  <w:abstractNum w:abstractNumId="94">
    <w:nsid w:val="3F7C2FF4"/>
    <w:multiLevelType w:val="hybridMultilevel"/>
    <w:lvl w:ilvl="0">
      <w:lvlJc w:val="left"/>
      <w:lvlText w:val="•"/>
      <w:numFmt w:val="bullet"/>
      <w:start w:val="1"/>
    </w:lvl>
  </w:abstractNum>
  <w:abstractNum w:abstractNumId="95">
    <w:nsid w:val="25413BEC"/>
    <w:multiLevelType w:val="hybridMultilevel"/>
    <w:lvl w:ilvl="0">
      <w:lvlJc w:val="left"/>
      <w:lvlText w:val=":"/>
      <w:numFmt w:val="bullet"/>
      <w:start w:val="1"/>
    </w:lvl>
    <w:lvl w:ilvl="1">
      <w:lvlJc w:val="left"/>
      <w:lvlText w:val="(%2)"/>
      <w:numFmt w:val="lowerLetter"/>
      <w:start w:val="1"/>
    </w:lvl>
  </w:abstractNum>
  <w:abstractNum w:abstractNumId="96">
    <w:nsid w:val="17180B0B"/>
    <w:multiLevelType w:val="hybridMultilevel"/>
    <w:lvl w:ilvl="0">
      <w:lvlJc w:val="left"/>
      <w:lvlText w:val="(%1)"/>
      <w:numFmt w:val="lowerLetter"/>
      <w:start w:val="3"/>
    </w:lvl>
  </w:abstractNum>
  <w:abstractNum w:abstractNumId="97">
    <w:nsid w:val="579328B9"/>
    <w:multiLevelType w:val="hybridMultilevel"/>
    <w:lvl w:ilvl="0">
      <w:lvlJc w:val="left"/>
      <w:lvlText w:val="(%1)"/>
      <w:numFmt w:val="lowerLetter"/>
      <w:start w:val="13"/>
    </w:lvl>
  </w:abstractNum>
  <w:abstractNum w:abstractNumId="98">
    <w:nsid w:val="5D205E20"/>
    <w:multiLevelType w:val="hybridMultilevel"/>
    <w:lvl w:ilvl="0">
      <w:lvlJc w:val="left"/>
      <w:lvlText w:val="(%1)"/>
      <w:numFmt w:val="lowerLetter"/>
      <w:start w:val="22"/>
    </w:lvl>
  </w:abstractNum>
  <w:abstractNum w:abstractNumId="99">
    <w:nsid w:val="11CCA8BA"/>
    <w:multiLevelType w:val="hybridMultilevel"/>
    <w:lvl w:ilvl="0">
      <w:lvlJc w:val="left"/>
      <w:lvlText w:val="(%1)"/>
      <w:numFmt w:val="lowerLetter"/>
      <w:start w:val="27"/>
    </w:lvl>
  </w:abstractNum>
  <w:abstractNum w:abstractNumId="100">
    <w:nsid w:val="4D32AB86"/>
    <w:multiLevelType w:val="hybridMultilevel"/>
    <w:lvl w:ilvl="0">
      <w:lvlJc w:val="left"/>
      <w:lvlText w:val="(%1)"/>
      <w:numFmt w:val="lowerLetter"/>
      <w:start w:val="36"/>
    </w:lvl>
  </w:abstractNum>
  <w:abstractNum w:abstractNumId="101">
    <w:nsid w:val="3F07ACC3"/>
    <w:multiLevelType w:val="hybridMultilevel"/>
    <w:lvl w:ilvl="0">
      <w:lvlJc w:val="left"/>
      <w:lvlText w:val="(%1)"/>
      <w:numFmt w:val="lowerLetter"/>
      <w:start w:val="40"/>
    </w:lvl>
  </w:abstractNum>
  <w:abstractNum w:abstractNumId="102">
    <w:nsid w:val="6B47F63E"/>
    <w:multiLevelType w:val="hybridMultilevel"/>
    <w:lvl w:ilvl="0">
      <w:lvlJc w:val="left"/>
      <w:lvlText w:val="(%1)"/>
      <w:numFmt w:val="lowerLetter"/>
      <w:start w:val="44"/>
    </w:lvl>
  </w:abstractNum>
  <w:abstractNum w:abstractNumId="103">
    <w:nsid w:val="5CB44A05"/>
    <w:multiLevelType w:val="hybridMultilevel"/>
    <w:lvl w:ilvl="0">
      <w:lvlJc w:val="left"/>
      <w:lvlText w:val="(%1)"/>
      <w:numFmt w:val="lowerLetter"/>
      <w:start w:val="50"/>
    </w:lvl>
  </w:abstractNum>
  <w:abstractNum w:abstractNumId="104">
    <w:nsid w:val="16CF80F1"/>
    <w:multiLevelType w:val="hybridMultilevel"/>
    <w:lvl w:ilvl="0">
      <w:lvlJc w:val="left"/>
      <w:lvlText w:val="(%1)"/>
      <w:numFmt w:val="lowerLetter"/>
      <w:start w:val="58"/>
    </w:lvl>
  </w:abstractNum>
  <w:abstractNum w:abstractNumId="105">
    <w:nsid w:val="1C695DEC"/>
    <w:multiLevelType w:val="hybridMultilevel"/>
    <w:lvl w:ilvl="0">
      <w:lvlJc w:val="left"/>
      <w:lvlText w:val="(%1)"/>
      <w:numFmt w:val="lowerLetter"/>
      <w:start w:val="61"/>
    </w:lvl>
  </w:abstractNum>
  <w:abstractNum w:abstractNumId="106">
    <w:nsid w:val="3FCFAED9"/>
    <w:multiLevelType w:val="hybridMultilevel"/>
    <w:lvl w:ilvl="0">
      <w:lvlJc w:val="left"/>
      <w:lvlText w:val="(%1)"/>
      <w:numFmt w:val="lowerLetter"/>
      <w:start w:val="64"/>
    </w:lvl>
  </w:abstractNum>
  <w:abstractNum w:abstractNumId="107">
    <w:nsid w:val="F856867"/>
    <w:multiLevelType w:val="hybridMultilevel"/>
    <w:lvl w:ilvl="0">
      <w:lvlJc w:val="left"/>
      <w:lvlText w:val="(%1)"/>
      <w:numFmt w:val="lowerLetter"/>
      <w:start w:val="1"/>
    </w:lvl>
    <w:lvl w:ilvl="1">
      <w:lvlJc w:val="left"/>
      <w:lvlText w:val="(%2)"/>
      <w:numFmt w:val="decimal"/>
      <w:start w:val="1"/>
    </w:lvl>
  </w:abstractNum>
  <w:abstractNum w:abstractNumId="108">
    <w:nsid w:val="11B1CC33"/>
    <w:multiLevelType w:val="hybridMultilevel"/>
    <w:lvl w:ilvl="0">
      <w:lvlJc w:val="left"/>
      <w:lvlText w:val="%1"/>
      <w:numFmt w:val="lowerLetter"/>
      <w:start w:val="1"/>
    </w:lvl>
    <w:lvl w:ilvl="1">
      <w:lvlJc w:val="left"/>
      <w:lvlText w:val="(%2)"/>
      <w:numFmt w:val="decimal"/>
      <w:start w:val="6"/>
    </w:lvl>
  </w:abstractNum>
  <w:abstractNum w:abstractNumId="109">
    <w:nsid w:val="2E22FBB7"/>
    <w:multiLevelType w:val="hybridMultilevel"/>
    <w:lvl w:ilvl="0">
      <w:lvlJc w:val="left"/>
      <w:lvlText w:val="(%1)"/>
      <w:numFmt w:val="lowerLetter"/>
      <w:start w:val="3"/>
    </w:lvl>
    <w:lvl w:ilvl="1">
      <w:lvlJc w:val="left"/>
      <w:lvlText w:val="%2"/>
      <w:numFmt w:val="decimal"/>
      <w:start w:val="1"/>
    </w:lvl>
  </w:abstractNum>
  <w:abstractNum w:abstractNumId="110">
    <w:nsid w:val="29934699"/>
    <w:multiLevelType w:val="hybridMultilevel"/>
    <w:lvl w:ilvl="0">
      <w:lvlJc w:val="left"/>
      <w:lvlText w:val="(%1)"/>
      <w:numFmt w:val="lowerLetter"/>
      <w:start w:val="1"/>
    </w:lvl>
  </w:abstractNum>
  <w:abstractNum w:abstractNumId="111">
    <w:nsid w:val="77485850"/>
    <w:multiLevelType w:val="hybridMultilevel"/>
    <w:lvl w:ilvl="0">
      <w:lvlJc w:val="left"/>
      <w:lvlText w:val="(%1)"/>
      <w:numFmt w:val="lowerLetter"/>
      <w:start w:val="3"/>
    </w:lvl>
  </w:abstractNum>
  <w:abstractNum w:abstractNumId="112">
    <w:nsid w:val="744939A3"/>
    <w:multiLevelType w:val="hybridMultilevel"/>
    <w:lvl w:ilvl="0">
      <w:lvlJc w:val="left"/>
      <w:lvlText w:val="(%1)"/>
      <w:numFmt w:val="lowerLetter"/>
      <w:start w:val="1"/>
    </w:lvl>
  </w:abstractNum>
  <w:abstractNum w:abstractNumId="113">
    <w:nsid w:val="4FA0D2E3"/>
    <w:multiLevelType w:val="hybridMultilevel"/>
    <w:lvl w:ilvl="0">
      <w:lvlJc w:val="left"/>
      <w:lvlText w:val="(%1)"/>
      <w:numFmt w:val="decimal"/>
      <w:start w:val="1"/>
    </w:lvl>
  </w:abstractNum>
  <w:abstractNum w:abstractNumId="114">
    <w:nsid w:val="6B1D2C14"/>
    <w:multiLevelType w:val="hybridMultilevel"/>
    <w:lvl w:ilvl="0">
      <w:lvlJc w:val="left"/>
      <w:lvlText w:val="(%1)"/>
      <w:numFmt w:val="decimal"/>
      <w:start w:val="2"/>
    </w:lvl>
  </w:abstractNum>
  <w:abstractNum w:abstractNumId="115">
    <w:nsid w:val="68B867D3"/>
    <w:multiLevelType w:val="hybridMultilevel"/>
    <w:lvl w:ilvl="0">
      <w:lvlJc w:val="left"/>
      <w:lvlText w:val="%1"/>
      <w:numFmt w:val="decimal"/>
      <w:start w:val="1"/>
    </w:lvl>
    <w:lvl w:ilvl="1">
      <w:lvlJc w:val="left"/>
      <w:lvlText w:val="%2"/>
      <w:numFmt w:val="decimal"/>
      <w:start w:val="1"/>
    </w:lvl>
    <w:lvl w:ilvl="2">
      <w:lvlJc w:val="left"/>
      <w:lvlText w:val="(%3)"/>
      <w:numFmt w:val="decimal"/>
      <w:start w:val="4"/>
    </w:lvl>
  </w:abstractNum>
  <w:abstractNum w:abstractNumId="116">
    <w:nsid w:val="3F7F5DD9"/>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abstractNum>
  <w:abstractNum w:abstractNumId="117">
    <w:nsid w:val="2AE05A34"/>
    <w:multiLevelType w:val="hybridMultilevel"/>
    <w:lvl w:ilvl="0">
      <w:lvlJc w:val="left"/>
      <w:lvlText w:val="(%1)"/>
      <w:numFmt w:val="decimal"/>
      <w:start w:val="6"/>
    </w:lvl>
    <w:lvl w:ilvl="1">
      <w:lvlJc w:val="left"/>
      <w:lvlText w:val="%2"/>
      <w:numFmt w:val="decimal"/>
      <w:start w:val="1"/>
    </w:lvl>
    <w:lvl w:ilvl="2">
      <w:lvlJc w:val="left"/>
      <w:lvlText w:val="%3"/>
      <w:numFmt w:val="decimal"/>
      <w:start w:val="1"/>
    </w:lvl>
  </w:abstractNum>
  <w:abstractNum w:abstractNumId="118">
    <w:nsid w:val="32794FF7"/>
    <w:multiLevelType w:val="hybridMultilevel"/>
    <w:lvl w:ilvl="0">
      <w:lvlJc w:val="left"/>
      <w:lvlText w:val="(%1)"/>
      <w:numFmt w:val="lowerLetter"/>
      <w:start w:val="2"/>
    </w:lvl>
  </w:abstractNum>
  <w:abstractNum w:abstractNumId="119">
    <w:nsid w:val="5454945E"/>
    <w:multiLevelType w:val="hybridMultilevel"/>
    <w:lvl w:ilvl="0">
      <w:lvlJc w:val="left"/>
      <w:lvlText w:val="."/>
      <w:numFmt w:val="bullet"/>
      <w:start w:val="1"/>
    </w:lvl>
    <w:lvl w:ilvl="1">
      <w:lvlJc w:val="left"/>
      <w:lvlText w:val="(%2)"/>
      <w:numFmt w:val="lowerLetter"/>
      <w:start w:val="1"/>
    </w:lvl>
  </w:abstractNum>
  <w:abstractNum w:abstractNumId="120">
    <w:nsid w:val="4DEFDFA0"/>
    <w:multiLevelType w:val="hybridMultilevel"/>
    <w:lvl w:ilvl="0">
      <w:lvlJc w:val="left"/>
      <w:lvlText w:val="(%1)"/>
      <w:numFmt w:val="lowerLetter"/>
      <w:start w:val="2"/>
    </w:lvl>
  </w:abstractNum>
  <w:abstractNum w:abstractNumId="121">
    <w:nsid w:val="2123D5F2"/>
    <w:multiLevelType w:val="hybridMultilevel"/>
    <w:lvl w:ilvl="0">
      <w:lvlJc w:val="left"/>
      <w:lvlText w:val="(%1)"/>
      <w:numFmt w:val="lowerLetter"/>
      <w:start w:val="3"/>
    </w:lvl>
  </w:abstractNum>
  <w:abstractNum w:abstractNumId="122">
    <w:nsid w:val="135B8110"/>
    <w:multiLevelType w:val="hybridMultilevel"/>
    <w:lvl w:ilvl="0">
      <w:lvlJc w:val="left"/>
      <w:lvlText w:val="(%1)"/>
      <w:numFmt w:val="lowerLetter"/>
      <w:start w:val="1"/>
    </w:lvl>
  </w:abstractNum>
  <w:abstractNum w:abstractNumId="123">
    <w:nsid w:val="94927A8"/>
    <w:multiLevelType w:val="hybridMultilevel"/>
    <w:lvl w:ilvl="0">
      <w:lvlJc w:val="left"/>
      <w:lvlText w:val="."/>
      <w:numFmt w:val="bullet"/>
      <w:start w:val="1"/>
    </w:lvl>
    <w:lvl w:ilvl="1">
      <w:lvlJc w:val="left"/>
      <w:lvlText w:val="(%2)"/>
      <w:numFmt w:val="lowerLetter"/>
      <w:start w:val="1"/>
    </w:lvl>
  </w:abstractNum>
  <w:abstractNum w:abstractNumId="124">
    <w:nsid w:val="DCDF8F6"/>
    <w:multiLevelType w:val="hybridMultilevel"/>
    <w:lvl w:ilvl="0">
      <w:lvlJc w:val="left"/>
      <w:lvlText w:val="(%1)"/>
      <w:numFmt w:val="lowerLetter"/>
      <w:start w:val="2"/>
    </w:lvl>
  </w:abstractNum>
  <w:abstractNum w:abstractNumId="125">
    <w:nsid w:val="52D7B105"/>
    <w:multiLevelType w:val="hybridMultilevel"/>
    <w:lvl w:ilvl="0">
      <w:lvlJc w:val="left"/>
      <w:lvlText w:val="(%1)"/>
      <w:numFmt w:val="lowerLetter"/>
      <w:start w:val="11"/>
    </w:lvl>
  </w:abstractNum>
  <w:abstractNum w:abstractNumId="126">
    <w:nsid w:val="2E8A6394"/>
    <w:multiLevelType w:val="hybridMultilevel"/>
    <w:lvl w:ilvl="0">
      <w:lvlJc w:val="left"/>
      <w:lvlText w:val="."/>
      <w:numFmt w:val="bullet"/>
      <w:start w:val="1"/>
    </w:lvl>
    <w:lvl w:ilvl="1">
      <w:lvlJc w:val="left"/>
      <w:lvlText w:val="(%2)"/>
      <w:numFmt w:val="lowerLetter"/>
      <w:start w:val="1"/>
    </w:lvl>
  </w:abstractNum>
  <w:abstractNum w:abstractNumId="127">
    <w:nsid w:val="24E60401"/>
    <w:multiLevelType w:val="hybridMultilevel"/>
    <w:lvl w:ilvl="0">
      <w:lvlJc w:val="left"/>
      <w:lvlText w:val="(%1)"/>
      <w:numFmt w:val="lowerLetter"/>
      <w:start w:val="2"/>
    </w:lvl>
  </w:abstractNum>
  <w:abstractNum w:abstractNumId="128">
    <w:nsid w:val="2A6AD9BE"/>
    <w:multiLevelType w:val="hybridMultilevel"/>
    <w:lvl w:ilvl="0">
      <w:lvlJc w:val="left"/>
      <w:lvlText w:val="%1"/>
      <w:numFmt w:val="lowerLetter"/>
      <w:start w:val="1"/>
    </w:lvl>
    <w:lvl w:ilvl="1">
      <w:lvlJc w:val="left"/>
      <w:lvlText w:val="(%2)"/>
      <w:numFmt w:val="lowerLetter"/>
      <w:start w:val="61"/>
    </w:lvl>
  </w:abstractNum>
  <w:abstractNum w:abstractNumId="129">
    <w:nsid w:val="BAAC1B4"/>
    <w:multiLevelType w:val="hybridMultilevel"/>
    <w:lvl w:ilvl="0">
      <w:lvlJc w:val="left"/>
      <w:lvlText w:val="(%1)"/>
      <w:numFmt w:val="lowerLetter"/>
      <w:start w:val="5"/>
    </w:lvl>
    <w:lvl w:ilvl="1">
      <w:lvlJc w:val="left"/>
      <w:lvlText w:val="%2"/>
      <w:numFmt w:val="lowerLetter"/>
      <w:start w:val="1"/>
    </w:lvl>
  </w:abstractNum>
  <w:abstractNum w:abstractNumId="130">
    <w:nsid w:val="36B2ACBC"/>
    <w:multiLevelType w:val="hybridMultilevel"/>
    <w:lvl w:ilvl="0">
      <w:lvlJc w:val="left"/>
      <w:lvlText w:val="."/>
      <w:numFmt w:val="bullet"/>
      <w:start w:val="1"/>
    </w:lvl>
    <w:lvl w:ilvl="1">
      <w:lvlJc w:val="left"/>
      <w:lvlText w:val="(%2)"/>
      <w:numFmt w:val="lowerLetter"/>
      <w:start w:val="1"/>
    </w:lvl>
  </w:abstractNum>
  <w:abstractNum w:abstractNumId="131">
    <w:nsid w:val="779D8544"/>
    <w:multiLevelType w:val="hybridMultilevel"/>
    <w:lvl w:ilvl="0">
      <w:lvlJc w:val="left"/>
      <w:lvlText w:val="(%1)"/>
      <w:numFmt w:val="lowerLetter"/>
      <w:start w:val="3"/>
    </w:lvl>
  </w:abstractNum>
  <w:abstractNum w:abstractNumId="132">
    <w:nsid w:val="4AB26E78"/>
    <w:multiLevelType w:val="hybridMultilevel"/>
    <w:lvl w:ilvl="0">
      <w:lvlJc w:val="left"/>
      <w:lvlText w:val="."/>
      <w:numFmt w:val="bullet"/>
      <w:start w:val="1"/>
    </w:lvl>
    <w:lvl w:ilvl="1">
      <w:lvlJc w:val="left"/>
      <w:lvlText w:val="(%2)"/>
      <w:numFmt w:val="lowerLetter"/>
      <w:start w:val="1"/>
    </w:lvl>
  </w:abstractNum>
  <w:abstractNum w:abstractNumId="133">
    <w:nsid w:val="21FAA2FA"/>
    <w:multiLevelType w:val="hybridMultilevel"/>
    <w:lvl w:ilvl="0">
      <w:lvlJc w:val="left"/>
      <w:lvlText w:val="(%1)"/>
      <w:numFmt w:val="lowerLetter"/>
      <w:start w:val="2"/>
    </w:lvl>
  </w:abstractNum>
  <w:abstractNum w:abstractNumId="134">
    <w:nsid w:val="5451CF49"/>
    <w:multiLevelType w:val="hybridMultilevel"/>
    <w:lvl w:ilvl="0">
      <w:lvlJc w:val="left"/>
      <w:lvlText w:val="."/>
      <w:numFmt w:val="bullet"/>
      <w:start w:val="1"/>
    </w:lvl>
  </w:abstractNum>
  <w:abstractNum w:abstractNumId="135">
    <w:nsid w:val="6181EF69"/>
    <w:multiLevelType w:val="hybridMultilevel"/>
    <w:lvl w:ilvl="0">
      <w:lvlJc w:val="left"/>
      <w:lvlText w:val="."/>
      <w:numFmt w:val="bullet"/>
      <w:start w:val="1"/>
    </w:lvl>
  </w:abstractNum>
  <w:abstractNum w:abstractNumId="136">
    <w:nsid w:val="3E6400E6"/>
    <w:multiLevelType w:val="hybridMultilevel"/>
    <w:lvl w:ilvl="0">
      <w:lvlJc w:val="left"/>
      <w:lvlText w:val="(%1)"/>
      <w:numFmt w:val="upperLetter"/>
      <w:start w:val="7"/>
    </w:lvl>
  </w:abstractNum>
  <w:abstractNum w:abstractNumId="137">
    <w:nsid w:val="14217E23"/>
    <w:multiLevelType w:val="hybridMultilevel"/>
    <w:lvl w:ilvl="0">
      <w:lvlJc w:val="left"/>
      <w:lvlText w:val="."/>
      <w:numFmt w:val="bullet"/>
      <w:start w:val="1"/>
    </w:lvl>
    <w:lvl w:ilvl="1">
      <w:lvlJc w:val="left"/>
      <w:lvlText w:val="(%2)"/>
      <w:numFmt w:val="lowerLetter"/>
      <w:start w:val="1"/>
    </w:lvl>
  </w:abstractNum>
  <w:abstractNum w:abstractNumId="138">
    <w:nsid w:val="710757D0"/>
    <w:multiLevelType w:val="hybridMultilevel"/>
    <w:lvl w:ilvl="0">
      <w:lvlJc w:val="left"/>
      <w:lvlText w:val="(%1)"/>
      <w:numFmt w:val="lowerLetter"/>
      <w:start w:val="2"/>
    </w:lvl>
  </w:abstractNum>
  <w:abstractNum w:abstractNumId="139">
    <w:nsid w:val="5015CD1A"/>
    <w:multiLevelType w:val="hybridMultilevel"/>
    <w:lvl w:ilvl="0">
      <w:lvlJc w:val="left"/>
      <w:lvlText w:val="(%1)"/>
      <w:numFmt w:val="lowerLetter"/>
      <w:start w:val="4"/>
    </w:lvl>
  </w:abstractNum>
  <w:abstractNum w:abstractNumId="140">
    <w:nsid w:val="424479DA"/>
    <w:multiLevelType w:val="hybridMultilevel"/>
    <w:lvl w:ilvl="0">
      <w:lvlJc w:val="left"/>
      <w:lvlText w:val="(%1)"/>
      <w:numFmt w:val="lowerLetter"/>
      <w:start w:val="1"/>
    </w:lvl>
  </w:abstractNum>
  <w:abstractNum w:abstractNumId="141">
    <w:nsid w:val="1A9A9E69"/>
    <w:multiLevelType w:val="hybridMultilevel"/>
    <w:lvl w:ilvl="0">
      <w:lvlJc w:val="left"/>
      <w:lvlText w:val="(%1)"/>
      <w:numFmt w:val="lowerLetter"/>
      <w:start w:val="2"/>
    </w:lvl>
  </w:abstractNum>
  <w:abstractNum w:abstractNumId="142">
    <w:nsid w:val="475E256A"/>
    <w:multiLevelType w:val="hybridMultilevel"/>
    <w:lvl w:ilvl="0">
      <w:lvlJc w:val="left"/>
      <w:lvlText w:val="."/>
      <w:numFmt w:val="bullet"/>
      <w:start w:val="1"/>
    </w:lvl>
  </w:abstractNum>
  <w:abstractNum w:abstractNumId="143">
    <w:nsid w:val="368DB37E"/>
    <w:multiLevelType w:val="hybridMultilevel"/>
    <w:lvl w:ilvl="0">
      <w:lvlJc w:val="left"/>
      <w:lvlText w:val="."/>
      <w:numFmt w:val="bullet"/>
      <w:start w:val="1"/>
    </w:lvl>
  </w:abstractNum>
  <w:abstractNum w:abstractNumId="144">
    <w:nsid w:val="6A3B714C"/>
    <w:multiLevelType w:val="hybridMultilevel"/>
    <w:lvl w:ilvl="0">
      <w:lvlJc w:val="left"/>
      <w:lvlText w:val="."/>
      <w:numFmt w:val="bullet"/>
      <w:start w:val="1"/>
    </w:lvl>
  </w:abstractNum>
  <w:abstractNum w:abstractNumId="145">
    <w:nsid w:val="327B517E"/>
    <w:multiLevelType w:val="hybridMultilevel"/>
    <w:lvl w:ilvl="0">
      <w:lvlJc w:val="left"/>
      <w:lvlText w:val="(%1)"/>
      <w:numFmt w:val="lowerRoman"/>
      <w:start w:val="4"/>
    </w:lvl>
  </w:abstractNum>
  <w:abstractNum w:abstractNumId="146">
    <w:nsid w:val="1F461B51"/>
    <w:multiLevelType w:val="hybridMultilevel"/>
    <w:lvl w:ilvl="0">
      <w:lvlJc w:val="left"/>
      <w:lvlText w:val="."/>
      <w:numFmt w:val="bullet"/>
      <w:start w:val="1"/>
    </w:lvl>
  </w:abstractNum>
  <w:abstractNum w:abstractNumId="147">
    <w:nsid w:val="29BACF25"/>
    <w:multiLevelType w:val="hybridMultilevel"/>
    <w:lvl w:ilvl="0">
      <w:lvlJc w:val="left"/>
      <w:lvlText w:val="."/>
      <w:numFmt w:val="bullet"/>
      <w:start w:val="1"/>
    </w:lvl>
  </w:abstractNum>
  <w:abstractNum w:abstractNumId="148">
    <w:nsid w:val="5D5BABB3"/>
    <w:multiLevelType w:val="hybridMultilevel"/>
    <w:lvl w:ilvl="0">
      <w:lvlJc w:val="left"/>
      <w:lvlText w:val="."/>
      <w:numFmt w:val="bullet"/>
      <w:start w:val="1"/>
    </w:lvl>
  </w:abstractNum>
  <w:abstractNum w:abstractNumId="149">
    <w:nsid w:val="51BF6B48"/>
    <w:multiLevelType w:val="hybridMultilevel"/>
    <w:lvl w:ilvl="0">
      <w:lvlJc w:val="left"/>
      <w:lvlText w:val="."/>
      <w:numFmt w:val="bullet"/>
      <w:start w:val="1"/>
    </w:lvl>
  </w:abstractNum>
  <w:abstractNum w:abstractNumId="150">
    <w:nsid w:val="7E0F6384"/>
    <w:multiLevelType w:val="hybridMultilevel"/>
    <w:lvl w:ilvl="0">
      <w:lvlJc w:val="left"/>
      <w:lvlText w:val="."/>
      <w:numFmt w:val="bullet"/>
      <w:start w:val="1"/>
    </w:lvl>
  </w:abstractNum>
  <w:abstractNum w:abstractNumId="151">
    <w:nsid w:val="2B4B8B53"/>
    <w:multiLevelType w:val="hybridMultilevel"/>
    <w:lvl w:ilvl="0">
      <w:lvlJc w:val="left"/>
      <w:lvlText w:val="."/>
      <w:numFmt w:val="bullet"/>
      <w:start w:val="1"/>
    </w:lvl>
  </w:abstractNum>
  <w:abstractNum w:abstractNumId="152">
    <w:nsid w:val="72E3413A"/>
    <w:multiLevelType w:val="hybridMultilevel"/>
    <w:lvl w:ilvl="0">
      <w:lvlJc w:val="left"/>
      <w:lvlText w:val="(%1)"/>
      <w:numFmt w:val="lowerRoman"/>
      <w:start w:val="2"/>
    </w:lvl>
  </w:abstractNum>
  <w:abstractNum w:abstractNumId="153">
    <w:nsid w:val="116AE494"/>
    <w:multiLevelType w:val="hybridMultilevel"/>
    <w:lvl w:ilvl="0">
      <w:lvlJc w:val="left"/>
      <w:lvlText w:val="(%1)"/>
      <w:numFmt w:val="lowerLetter"/>
      <w:start w:val="1"/>
    </w:lvl>
  </w:abstractNum>
  <w:abstractNum w:abstractNumId="154">
    <w:nsid w:val="3494B2FB"/>
    <w:multiLevelType w:val="hybridMultilevel"/>
    <w:lvl w:ilvl="0">
      <w:lvlJc w:val="left"/>
      <w:lvlText w:val="(%1)"/>
      <w:numFmt w:val="lowerLetter"/>
      <w:start w:val="4"/>
    </w:lvl>
  </w:abstractNum>
  <w:abstractNum w:abstractNumId="155">
    <w:nsid w:val="B13A31"/>
    <w:multiLevelType w:val="hybridMultilevel"/>
    <w:lvl w:ilvl="0">
      <w:lvlJc w:val="left"/>
      <w:lvlText w:val="%1."/>
      <w:numFmt w:val="decimal"/>
      <w:start w:val="27"/>
    </w:lvl>
  </w:abstractNum>
  <w:abstractNum w:abstractNumId="156">
    <w:nsid w:val="64429599"/>
    <w:multiLevelType w:val="hybridMultilevel"/>
    <w:lvl w:ilvl="0">
      <w:lvlJc w:val="left"/>
      <w:lvlText w:val="%1."/>
      <w:numFmt w:val="decimal"/>
      <w:start w:val="28"/>
    </w:lvl>
  </w:abstractNum>
  <w:abstractNum w:abstractNumId="157">
    <w:nsid w:val="631F1690"/>
    <w:multiLevelType w:val="hybridMultilevel"/>
    <w:lvl w:ilvl="0">
      <w:lvlJc w:val="left"/>
      <w:lvlText w:val="."/>
      <w:numFmt w:val="bullet"/>
      <w:start w:val="1"/>
    </w:lvl>
  </w:abstractNum>
  <w:abstractNum w:abstractNumId="158">
    <w:nsid w:val="25973E32"/>
    <w:multiLevelType w:val="hybridMultilevel"/>
    <w:lvl w:ilvl="0">
      <w:lvlJc w:val="left"/>
      <w:lvlText w:val="."/>
      <w:numFmt w:val="bullet"/>
      <w:start w:val="1"/>
    </w:lvl>
  </w:abstractNum>
  <w:abstractNum w:abstractNumId="159">
    <w:nsid w:val="EAD6F57"/>
    <w:multiLevelType w:val="hybridMultilevel"/>
    <w:lvl w:ilvl="0">
      <w:lvlJc w:val="left"/>
      <w:lvlText w:val="."/>
      <w:numFmt w:val="bullet"/>
      <w:start w:val="1"/>
    </w:lvl>
  </w:abstractNum>
  <w:abstractNum w:abstractNumId="160">
    <w:nsid w:val="6EC9D844"/>
    <w:multiLevelType w:val="hybridMultilevel"/>
    <w:lvl w:ilvl="0">
      <w:lvlJc w:val="left"/>
      <w:lvlText w:val="."/>
      <w:numFmt w:val="bullet"/>
      <w:start w:val="1"/>
    </w:lvl>
  </w:abstractNum>
  <w:abstractNum w:abstractNumId="161">
    <w:nsid w:val="5C49EAEE"/>
    <w:multiLevelType w:val="hybridMultilevel"/>
    <w:lvl w:ilvl="0">
      <w:lvlJc w:val="left"/>
      <w:lvlText w:val="."/>
      <w:numFmt w:val="bullet"/>
      <w:start w:val="1"/>
    </w:lvl>
  </w:abstractNum>
  <w:abstractNum w:abstractNumId="162">
    <w:nsid w:val="64AF49B"/>
    <w:multiLevelType w:val="hybridMultilevel"/>
    <w:lvl w:ilvl="0">
      <w:lvlJc w:val="left"/>
      <w:lvlText w:val="."/>
      <w:numFmt w:val="bullet"/>
      <w:start w:val="1"/>
    </w:lvl>
  </w:abstractNum>
  <w:abstractNum w:abstractNumId="163">
    <w:nsid w:val="397C46BC"/>
    <w:multiLevelType w:val="hybridMultilevel"/>
    <w:lvl w:ilvl="0">
      <w:lvlJc w:val="left"/>
      <w:lvlText w:val="(%1)"/>
      <w:numFmt w:val="lowerLetter"/>
      <w:start w:val="1"/>
    </w:lvl>
  </w:abstractNum>
  <w:abstractNum w:abstractNumId="164">
    <w:nsid w:val="7E448DE9"/>
    <w:multiLevelType w:val="hybridMultilevel"/>
    <w:lvl w:ilvl="0">
      <w:lvlJc w:val="left"/>
      <w:lvlText w:val="%1."/>
      <w:numFmt w:val="decimal"/>
      <w:start w:val="1"/>
    </w:lvl>
  </w:abstractNum>
  <w:abstractNum w:abstractNumId="165">
    <w:nsid w:val="5A9CC3E5"/>
    <w:multiLevelType w:val="hybridMultilevel"/>
    <w:lvl w:ilvl="0">
      <w:lvlJc w:val="left"/>
      <w:lvlText w:val="%1."/>
      <w:numFmt w:val="decimal"/>
      <w:start w:val="14"/>
    </w:lvl>
  </w:abstractNum>
  <w:abstractNum w:abstractNumId="166">
    <w:nsid w:val="1AFE3625"/>
    <w:multiLevelType w:val="hybridMultilevel"/>
    <w:lvl w:ilvl="0">
      <w:lvlJc w:val="left"/>
      <w:lvlText w:val="(%1)"/>
      <w:numFmt w:val="decimal"/>
      <w:start w:val="9"/>
    </w:lvl>
  </w:abstractNum>
  <w:abstractNum w:abstractNumId="167">
    <w:nsid w:val="3CA88ECF"/>
    <w:multiLevelType w:val="hybridMultilevel"/>
    <w:lvl w:ilvl="0">
      <w:lvlJc w:val="left"/>
      <w:lvlText w:val="%1."/>
      <w:numFmt w:val="decimal"/>
      <w:start w:val="1"/>
    </w:lvl>
  </w:abstractNum>
  <w:abstractNum w:abstractNumId="168">
    <w:nsid w:val="6EBE4208"/>
    <w:multiLevelType w:val="hybridMultilevel"/>
    <w:lvl w:ilvl="0">
      <w:lvlJc w:val="left"/>
      <w:lvlText w:val="%1."/>
      <w:numFmt w:val="decimal"/>
      <w:start w:val="8"/>
    </w:lvl>
  </w:abstractNum>
  <w:abstractNum w:abstractNumId="169">
    <w:nsid w:val="C058DF5"/>
    <w:multiLevelType w:val="hybridMultilevel"/>
    <w:lvl w:ilvl="0">
      <w:lvlJc w:val="left"/>
      <w:lvlText w:val="%1."/>
      <w:numFmt w:val="decimal"/>
      <w:start w:val="1"/>
    </w:lvl>
  </w:abstractNum>
  <w:abstractNum w:abstractNumId="170">
    <w:nsid w:val="CBE5BE9"/>
    <w:multiLevelType w:val="hybridMultilevel"/>
    <w:lvl w:ilvl="0">
      <w:lvlJc w:val="left"/>
      <w:lvlText w:val="["/>
      <w:numFmt w:val="bullet"/>
      <w:start w:val="1"/>
    </w:lvl>
  </w:abstractNum>
  <w:abstractNum w:abstractNumId="171">
    <w:nsid w:val="3102BBE2"/>
    <w:multiLevelType w:val="hybridMultilevel"/>
    <w:lvl w:ilvl="0">
      <w:lvlJc w:val="left"/>
      <w:lvlText w:val="%1."/>
      <w:numFmt w:val="upperLetter"/>
      <w:start w:val="1"/>
    </w:lvl>
  </w:abstractNum>
  <w:abstractNum w:abstractNumId="172">
    <w:nsid w:val="26A02C5E"/>
    <w:multiLevelType w:val="hybridMultilevel"/>
    <w:lvl w:ilvl="0">
      <w:lvlJc w:val="left"/>
      <w:lvlText w:val="%1."/>
      <w:numFmt w:val="upperLetter"/>
      <w:start w:val="9"/>
    </w:lvl>
  </w:abstractNum>
  <w:abstractNum w:abstractNumId="173">
    <w:nsid w:val="541C8153"/>
    <w:multiLevelType w:val="hybridMultilevel"/>
    <w:lvl w:ilvl="0">
      <w:lvlJc w:val="left"/>
      <w:lvlText w:val="%1."/>
      <w:numFmt w:val="upperLetter"/>
      <w:start w:val="35"/>
    </w:lvl>
  </w:abstractNum>
  <w:abstractNum w:abstractNumId="174">
    <w:nsid w:val="67906F60"/>
    <w:multiLevelType w:val="hybridMultilevel"/>
    <w:lvl w:ilvl="0">
      <w:lvlJc w:val="left"/>
      <w:lvlText w:val="•"/>
      <w:numFmt w:val="bullet"/>
      <w:start w:val="1"/>
    </w:lvl>
  </w:abstractNum>
  <w:abstractNum w:abstractNumId="175">
    <w:nsid w:val="10DB9DAA"/>
    <w:multiLevelType w:val="hybridMultilevel"/>
    <w:lvl w:ilvl="0">
      <w:lvlJc w:val="left"/>
      <w:lvlText w:val="•"/>
      <w:numFmt w:val="bullet"/>
      <w:start w:val="1"/>
    </w:lvl>
  </w:abstractNum>
  <w:abstractNum w:abstractNumId="176">
    <w:nsid w:val="697D2D2"/>
    <w:multiLevelType w:val="hybridMultilevel"/>
    <w:lvl w:ilvl="0">
      <w:lvlJc w:val="left"/>
      <w:lvlText w:val="•"/>
      <w:numFmt w:val="bullet"/>
      <w:start w:val="1"/>
    </w:lvl>
  </w:abstractNum>
  <w:abstractNum w:abstractNumId="177">
    <w:nsid w:val="6D68AB2"/>
    <w:multiLevelType w:val="hybridMultilevel"/>
    <w:lvl w:ilvl="0">
      <w:lvlJc w:val="left"/>
      <w:lvlText w:val="%1."/>
      <w:numFmt w:val="upperLetter"/>
      <w:start w:val="61"/>
    </w:lvl>
    <w:lvl w:ilvl="1">
      <w:lvlJc w:val="left"/>
      <w:lvlText w:val="%2."/>
      <w:numFmt w:val="upperLetter"/>
      <w:start w:val="1"/>
    </w:lvl>
  </w:abstractNum>
  <w:abstractNum w:abstractNumId="178">
    <w:nsid w:val="3A966CD0"/>
    <w:multiLevelType w:val="hybridMultilevel"/>
    <w:lvl w:ilvl="0">
      <w:lvlJc w:val="left"/>
      <w:lvlText w:val="%1."/>
      <w:numFmt w:val="upperLetter"/>
      <w:start w:val="2"/>
    </w:lvl>
  </w:abstractNum>
  <w:abstractNum w:abstractNumId="179">
    <w:nsid w:val="63F37E85"/>
    <w:multiLevelType w:val="hybridMultilevel"/>
    <w:lvl w:ilvl="0">
      <w:lvlJc w:val="left"/>
      <w:lvlText w:val="%1."/>
      <w:numFmt w:val="upperLetter"/>
      <w:start w:val="1"/>
    </w:lvl>
  </w:abstractNum>
  <w:abstractNum w:abstractNumId="180">
    <w:nsid w:val="5895F5FA"/>
    <w:multiLevelType w:val="hybridMultilevel"/>
    <w:lvl w:ilvl="0">
      <w:lvlJc w:val="left"/>
      <w:lvlText w:val="%1"/>
      <w:numFmt w:val="upperLetter"/>
      <w:start w:val="1"/>
    </w:lvl>
    <w:lvl w:ilvl="1">
      <w:lvlJc w:val="left"/>
      <w:lvlText w:val="%2."/>
      <w:numFmt w:val="upperLetter"/>
      <w:start w:val="3"/>
    </w:lvl>
  </w:abstractNum>
  <w:abstractNum w:abstractNumId="181">
    <w:nsid w:val="38A5D054"/>
    <w:multiLevelType w:val="hybridMultilevel"/>
    <w:lvl w:ilvl="0">
      <w:lvlJc w:val="left"/>
      <w:lvlText w:val="%1."/>
      <w:numFmt w:val="upperLetter"/>
      <w:start w:val="22"/>
    </w:lvl>
    <w:lvl w:ilvl="1">
      <w:lvlJc w:val="left"/>
      <w:lvlText w:val="%2"/>
      <w:numFmt w:val="upperLetter"/>
      <w:start w:val="1"/>
    </w:lvl>
  </w:abstractNum>
  <w:abstractNum w:abstractNumId="182">
    <w:nsid w:val="F3F09D8"/>
    <w:multiLevelType w:val="hybridMultilevel"/>
    <w:lvl w:ilvl="0">
      <w:lvlJc w:val="left"/>
      <w:lvlText w:val="%1."/>
      <w:numFmt w:val="decimal"/>
      <w:start w:val="1"/>
    </w:lvl>
  </w:abstractNum>
  <w:abstractNum w:abstractNumId="183">
    <w:nsid w:val="4B793735"/>
    <w:multiLevelType w:val="hybridMultilevel"/>
    <w:lvl w:ilvl="0">
      <w:lvlJc w:val="left"/>
      <w:lvlText w:val="%1."/>
      <w:numFmt w:val="decimal"/>
      <w:start w:val="6"/>
    </w:lvl>
  </w:abstractNum>
  <w:abstractNum w:abstractNumId="184">
    <w:nsid w:val="4A10B4E8"/>
    <w:multiLevelType w:val="hybridMultilevel"/>
    <w:lvl w:ilvl="0">
      <w:lvlJc w:val="left"/>
      <w:lvlText w:val="(%1)"/>
      <w:numFmt w:val="lowerLetter"/>
      <w:start w:val="2"/>
    </w:lvl>
  </w:abstractNum>
  <w:abstractNum w:abstractNumId="185">
    <w:nsid w:val="43D3BCD4"/>
    <w:multiLevelType w:val="hybridMultilevel"/>
    <w:lvl w:ilvl="0">
      <w:lvlJc w:val="left"/>
      <w:lvlText w:val="(%1)"/>
      <w:numFmt w:val="lowerLetter"/>
      <w:start w:val="61"/>
    </w:lvl>
  </w:abstractNum>
  <w:abstractNum w:abstractNumId="186">
    <w:nsid w:val="4C2A7166"/>
    <w:multiLevelType w:val="hybridMultilevel"/>
    <w:lvl w:ilvl="0">
      <w:lvlJc w:val="left"/>
      <w:lvlText w:val="(%1)"/>
      <w:numFmt w:val="decimal"/>
      <w:start w:val="18"/>
    </w:lvl>
  </w:abstractNum>
  <w:abstractNum w:abstractNumId="187">
    <w:nsid w:val="2E534A82"/>
    <w:multiLevelType w:val="hybridMultilevel"/>
    <w:lvl w:ilvl="0">
      <w:lvlJc w:val="left"/>
      <w:lvlText w:val="(%1)"/>
      <w:numFmt w:val="lowerLetter"/>
      <w:start w:val="3"/>
    </w:lvl>
  </w:abstractNum>
  <w:abstractNum w:abstractNumId="188">
    <w:nsid w:val="26F2D364"/>
    <w:multiLevelType w:val="hybridMultilevel"/>
    <w:lvl w:ilvl="0">
      <w:lvlJc w:val="left"/>
      <w:lvlText w:val="(%1)"/>
      <w:numFmt w:val="lowerLetter"/>
      <w:start w:val="2"/>
    </w:lvl>
  </w:abstractNum>
  <w:abstractNum w:abstractNumId="189">
    <w:nsid w:val="71C1AF98"/>
    <w:multiLevelType w:val="hybridMultilevel"/>
    <w:lvl w:ilvl="0">
      <w:lvlJc w:val="left"/>
      <w:lvlText w:val="(%1)"/>
      <w:numFmt w:val="lowerLetter"/>
      <w:start w:val="4"/>
    </w:lvl>
  </w:abstractNum>
  <w:abstractNum w:abstractNumId="190">
    <w:nsid w:val="3D00B9D9"/>
    <w:multiLevelType w:val="hybridMultilevel"/>
    <w:lvl w:ilvl="0">
      <w:lvlJc w:val="left"/>
      <w:lvlText w:val="1"/>
      <w:numFmt w:val="bullet"/>
      <w:start w:val="1"/>
    </w:lvl>
  </w:abstractNum>
  <w:abstractNum w:abstractNumId="191">
    <w:nsid w:val="15BCABA8"/>
    <w:multiLevelType w:val="hybridMultilevel"/>
    <w:lvl w:ilvl="0">
      <w:lvlJc w:val="left"/>
      <w:lvlText w:val="%1."/>
      <w:numFmt w:val="decimal"/>
      <w:start w:val="4"/>
    </w:lvl>
    <w:lvl w:ilvl="1">
      <w:lvlJc w:val="left"/>
      <w:lvlText w:val="(%2)"/>
      <w:numFmt w:val="lowerLetter"/>
      <w:start w:val="1"/>
    </w:lvl>
  </w:abstractNum>
  <w:abstractNum w:abstractNumId="192">
    <w:nsid w:val="4E0B9A87"/>
    <w:multiLevelType w:val="hybridMultilevel"/>
    <w:lvl w:ilvl="0">
      <w:lvlJc w:val="left"/>
      <w:lvlText w:val="%1."/>
      <w:numFmt w:val="upperLetter"/>
      <w:start w:val="9"/>
    </w:lvl>
  </w:abstractNum>
  <w:abstractNum w:abstractNumId="193">
    <w:nsid w:val="434BAE75"/>
    <w:multiLevelType w:val="hybridMultilevel"/>
    <w:lvl w:ilvl="0">
      <w:lvlJc w:val="left"/>
      <w:lvlText w:val="%1."/>
      <w:numFmt w:val="upperLetter"/>
      <w:start w:val="35"/>
    </w:lvl>
    <w:lvl w:ilvl="1">
      <w:lvlJc w:val="left"/>
      <w:lvlText w:val="%2."/>
      <w:numFmt w:val="upperLetter"/>
      <w:start w:val="1"/>
    </w:lvl>
  </w:abstractNum>
  <w:abstractNum w:abstractNumId="194">
    <w:nsid w:val="4F38F265"/>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95">
    <w:nsid w:val="4C502870"/>
    <w:multiLevelType w:val="hybridMultilevel"/>
    <w:lvl w:ilvl="0">
      <w:lvlJc w:val="left"/>
      <w:lvlText w:val="%1"/>
      <w:numFmt w:val="upperLetter"/>
      <w:start w:val="1"/>
    </w:lvl>
    <w:lvl w:ilvl="1">
      <w:lvlJc w:val="left"/>
      <w:lvlText w:val="%2."/>
      <w:numFmt w:val="decimal"/>
      <w:start w:val="3"/>
    </w:lvl>
  </w:abstractNum>
  <w:abstractNum w:abstractNumId="196">
    <w:nsid w:val="1DE8725A"/>
    <w:multiLevelType w:val="hybridMultilevel"/>
    <w:lvl w:ilvl="0">
      <w:lvlJc w:val="left"/>
      <w:lvlText w:val="%1."/>
      <w:numFmt w:val="upperLetter"/>
      <w:start w:val="2"/>
    </w:lvl>
    <w:lvl w:ilvl="1">
      <w:lvlJc w:val="left"/>
      <w:lvlText w:val="%2."/>
      <w:numFmt w:val="decimal"/>
      <w:start w:val="1"/>
    </w:lvl>
  </w:abstractNum>
  <w:abstractNum w:abstractNumId="197">
    <w:nsid w:val="6A37288A"/>
    <w:multiLevelType w:val="hybridMultilevel"/>
    <w:lvl w:ilvl="0">
      <w:lvlJc w:val="left"/>
      <w:lvlText w:val="%1."/>
      <w:numFmt w:val="decimal"/>
      <w:start w:val="3"/>
    </w:lvl>
  </w:abstractNum>
  <w:abstractNum w:abstractNumId="198">
    <w:nsid w:val="8F8B73F"/>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99">
    <w:nsid w:val="CA6B462"/>
    <w:multiLevelType w:val="hybridMultilevel"/>
    <w:lvl w:ilvl="0">
      <w:lvlJc w:val="left"/>
      <w:lvlText w:val="%1."/>
      <w:numFmt w:val="decimal"/>
      <w:start w:val="3"/>
    </w:lvl>
    <w:lvl w:ilvl="1">
      <w:lvlJc w:val="left"/>
      <w:lvlText w:val="•"/>
      <w:numFmt w:val="bullet"/>
      <w:start w:val="1"/>
    </w:lvl>
  </w:abstractNum>
  <w:abstractNum w:abstractNumId="200">
    <w:nsid w:val="763CB680"/>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lvl w:ilvl="3">
      <w:lvlJc w:val="left"/>
      <w:lvlText w:val="•"/>
      <w:numFmt w:val="bullet"/>
      <w:start w:val="1"/>
    </w:lvl>
  </w:abstractNum>
  <w:abstractNum w:abstractNumId="201">
    <w:nsid w:val="15B71329"/>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lvl w:ilvl="3">
      <w:lvlJc w:val="left"/>
      <w:lvlText w:val="•"/>
      <w:numFmt w:val="bullet"/>
      <w:start w:val="1"/>
    </w:lvl>
  </w:abstractNum>
  <w:abstractNum w:abstractNumId="202">
    <w:nsid w:val="3DA97044"/>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203">
    <w:nsid w:val="1CDCE2D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04">
    <w:nsid w:val="69D3947C"/>
    <w:multiLevelType w:val="hybridMultilevel"/>
    <w:lvl w:ilvl="0">
      <w:lvlJc w:val="left"/>
      <w:lvlText w:val="%1."/>
      <w:numFmt w:val="decimal"/>
      <w:start w:val="2"/>
    </w:lvl>
    <w:lvl w:ilvl="1">
      <w:lvlJc w:val="left"/>
      <w:lvlText w:val="%2."/>
      <w:numFmt w:val="lowerLetter"/>
      <w:start w:val="1"/>
    </w:lvl>
  </w:abstractNum>
  <w:abstractNum w:abstractNumId="205">
    <w:nsid w:val="2539DFA5"/>
    <w:multiLevelType w:val="hybridMultilevel"/>
    <w:lvl w:ilvl="0">
      <w:lvlJc w:val="left"/>
      <w:lvlText w:val="%1."/>
      <w:numFmt w:val="decimal"/>
      <w:start w:val="3"/>
    </w:lvl>
    <w:lvl w:ilvl="1">
      <w:lvlJc w:val="left"/>
      <w:lvlText w:val="%2."/>
      <w:numFmt w:val="decimal"/>
      <w:start w:val="4"/>
    </w:lvl>
  </w:abstractNum>
  <w:abstractNum w:abstractNumId="206">
    <w:nsid w:val="2DB88089"/>
    <w:multiLevelType w:val="hybridMultilevel"/>
    <w:lvl w:ilvl="0">
      <w:lvlJc w:val="left"/>
      <w:lvlText w:val="%1."/>
      <w:numFmt w:val="upperLetter"/>
      <w:start w:val="1"/>
    </w:lvl>
  </w:abstractNum>
  <w:abstractNum w:abstractNumId="207">
    <w:nsid w:val="706B674E"/>
    <w:multiLevelType w:val="hybridMultilevel"/>
    <w:lvl w:ilvl="0">
      <w:lvlJc w:val="left"/>
      <w:lvlText w:val="%1."/>
      <w:numFmt w:val="upperLetter"/>
      <w:start w:val="1"/>
    </w:lvl>
  </w:abstractNum>
  <w:abstractNum w:abstractNumId="208">
    <w:nsid w:val="2C106A57"/>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09">
    <w:nsid w:val="684EED59"/>
    <w:multiLevelType w:val="hybridMultilevel"/>
    <w:lvl w:ilvl="0">
      <w:lvlJc w:val="left"/>
      <w:lvlText w:val="%1"/>
      <w:numFmt w:val="upperLetter"/>
      <w:start w:val="1"/>
    </w:lvl>
    <w:lvl w:ilvl="1">
      <w:lvlJc w:val="left"/>
      <w:lvlText w:val="%2."/>
      <w:numFmt w:val="upperLetter"/>
      <w:start w:val="1"/>
    </w:lvl>
  </w:abstractNum>
  <w:abstractNum w:abstractNumId="210">
    <w:nsid w:val="545EE5D3"/>
    <w:multiLevelType w:val="hybridMultilevel"/>
    <w:lvl w:ilvl="0">
      <w:lvlJc w:val="left"/>
      <w:lvlText w:val="%1."/>
      <w:numFmt w:val="upperLetter"/>
      <w:start w:val="24"/>
    </w:lvl>
    <w:lvl w:ilvl="1">
      <w:lvlJc w:val="left"/>
      <w:lvlText w:val="%2"/>
      <w:numFmt w:val="upperLetter"/>
      <w:start w:val="1"/>
    </w:lvl>
  </w:abstractNum>
  <w:abstractNum w:abstractNumId="211">
    <w:nsid w:val="4A66051"/>
    <w:multiLevelType w:val="hybridMultilevel"/>
    <w:lvl w:ilvl="0">
      <w:lvlJc w:val="left"/>
      <w:lvlText w:val="☐"/>
      <w:numFmt w:val="bullet"/>
      <w:start w:val="1"/>
    </w:lvl>
  </w:abstractNum>
  <w:abstractNum w:abstractNumId="212">
    <w:nsid w:val="20F4BDAD"/>
    <w:multiLevelType w:val="hybridMultilevel"/>
    <w:lvl w:ilvl="0">
      <w:lvlJc w:val="left"/>
      <w:lvlText w:val="☐"/>
      <w:numFmt w:val="bullet"/>
      <w:start w:val="1"/>
    </w:lvl>
  </w:abstractNum>
  <w:abstractNum w:abstractNumId="213">
    <w:nsid w:val="639DEFAC"/>
    <w:multiLevelType w:val="hybridMultilevel"/>
    <w:lvl w:ilvl="0">
      <w:lvlJc w:val="left"/>
      <w:lvlText w:val="(%1)"/>
      <w:numFmt w:val="decimal"/>
      <w:start w:val="1"/>
    </w:lvl>
  </w:abstractNum>
  <w:abstractNum w:abstractNumId="214">
    <w:nsid w:val="501F9786"/>
    <w:multiLevelType w:val="hybridMultilevel"/>
    <w:lvl w:ilvl="0">
      <w:lvlJc w:val="left"/>
      <w:lvlText w:val="%1."/>
      <w:numFmt w:val="decimal"/>
      <w:start w:val="1"/>
    </w:lvl>
    <w:lvl w:ilvl="1">
      <w:lvlJc w:val="left"/>
      <w:lvlText w:val="(%2)"/>
      <w:numFmt w:val="lowerLetter"/>
      <w:start w:val="1"/>
    </w:lvl>
  </w:abstractNum>
  <w:abstractNum w:abstractNumId="215">
    <w:nsid w:val="6B057295"/>
    <w:multiLevelType w:val="hybridMultilevel"/>
    <w:lvl w:ilvl="0">
      <w:lvlJc w:val="left"/>
      <w:lvlText w:val="%1."/>
      <w:numFmt w:val="decimal"/>
      <w:start w:val="1"/>
    </w:lvl>
    <w:lvl w:ilvl="1">
      <w:lvlJc w:val="left"/>
      <w:lvlText w:val="(%2)"/>
      <w:numFmt w:val="lowerLetter"/>
      <w:start w:val="1"/>
    </w:lvl>
  </w:abstractNum>
  <w:abstractNum w:abstractNumId="216">
    <w:nsid w:val="2771AC80"/>
    <w:multiLevelType w:val="hybridMultilevel"/>
    <w:lvl w:ilvl="0">
      <w:lvlJc w:val="left"/>
      <w:lvlText w:val="(%1)"/>
      <w:numFmt w:val="decimal"/>
      <w:start w:val="1"/>
    </w:lvl>
  </w:abstractNum>
  <w:abstractNum w:abstractNumId="217">
    <w:nsid w:val="1C4A0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228" Type="http://schemas.openxmlformats.org/officeDocument/2006/relationships/image" Target="media/image198.png"/><Relationship Id="rId229" Type="http://schemas.openxmlformats.org/officeDocument/2006/relationships/image" Target="media/image199.png"/><Relationship Id="rId230" Type="http://schemas.openxmlformats.org/officeDocument/2006/relationships/image" Target="media/image200.png"/><Relationship Id="rId231" Type="http://schemas.openxmlformats.org/officeDocument/2006/relationships/image" Target="media/image201.png"/><Relationship Id="rId232" Type="http://schemas.openxmlformats.org/officeDocument/2006/relationships/image" Target="media/image202.png"/><Relationship Id="rId233"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36" Type="http://schemas.openxmlformats.org/officeDocument/2006/relationships/image" Target="media/image206.png"/><Relationship Id="rId237" Type="http://schemas.openxmlformats.org/officeDocument/2006/relationships/image" Target="media/image207.png"/><Relationship Id="rId238" Type="http://schemas.openxmlformats.org/officeDocument/2006/relationships/image" Target="media/image208.png"/><Relationship Id="rId239" Type="http://schemas.openxmlformats.org/officeDocument/2006/relationships/image" Target="media/image209.png"/><Relationship Id="rId240" Type="http://schemas.openxmlformats.org/officeDocument/2006/relationships/image" Target="media/image210.png"/><Relationship Id="rId241" Type="http://schemas.openxmlformats.org/officeDocument/2006/relationships/image" Target="media/image211.png"/><Relationship Id="rId242" Type="http://schemas.openxmlformats.org/officeDocument/2006/relationships/image" Target="media/image212.png"/><Relationship Id="rId243" Type="http://schemas.openxmlformats.org/officeDocument/2006/relationships/image" Target="media/image213.png"/><Relationship Id="rId244" Type="http://schemas.openxmlformats.org/officeDocument/2006/relationships/image" Target="media/image214.png"/><Relationship Id="rId245" Type="http://schemas.openxmlformats.org/officeDocument/2006/relationships/image" Target="media/image215.png"/><Relationship Id="rId246" Type="http://schemas.openxmlformats.org/officeDocument/2006/relationships/image" Target="media/image216.png"/><Relationship Id="rId247" Type="http://schemas.openxmlformats.org/officeDocument/2006/relationships/image" Target="media/image217.png"/><Relationship Id="rId248" Type="http://schemas.openxmlformats.org/officeDocument/2006/relationships/image" Target="media/image218.png"/><Relationship Id="rId249" Type="http://schemas.openxmlformats.org/officeDocument/2006/relationships/image" Target="media/image219.png"/><Relationship Id="rId250" Type="http://schemas.openxmlformats.org/officeDocument/2006/relationships/image" Target="media/image220.png"/><Relationship Id="rId251" Type="http://schemas.openxmlformats.org/officeDocument/2006/relationships/image" Target="media/image221.png"/><Relationship Id="rId252" Type="http://schemas.openxmlformats.org/officeDocument/2006/relationships/image" Target="media/image222.png"/><Relationship Id="rId253" Type="http://schemas.openxmlformats.org/officeDocument/2006/relationships/image" Target="media/image223.png"/><Relationship Id="rId254" Type="http://schemas.openxmlformats.org/officeDocument/2006/relationships/image" Target="media/image224.png"/><Relationship Id="rId255" Type="http://schemas.openxmlformats.org/officeDocument/2006/relationships/image" Target="media/image225.png"/><Relationship Id="rId256" Type="http://schemas.openxmlformats.org/officeDocument/2006/relationships/image" Target="media/image226.png"/><Relationship Id="rId257" Type="http://schemas.openxmlformats.org/officeDocument/2006/relationships/image" Target="media/image227.png"/><Relationship Id="rId258" Type="http://schemas.openxmlformats.org/officeDocument/2006/relationships/image" Target="media/image228.png"/><Relationship Id="rId259" Type="http://schemas.openxmlformats.org/officeDocument/2006/relationships/image" Target="media/image229.png"/><Relationship Id="rId260" Type="http://schemas.openxmlformats.org/officeDocument/2006/relationships/image" Target="media/image230.png"/><Relationship Id="rId261" Type="http://schemas.openxmlformats.org/officeDocument/2006/relationships/image" Target="media/image231.png"/><Relationship Id="rId262" Type="http://schemas.openxmlformats.org/officeDocument/2006/relationships/image" Target="media/image232.png"/><Relationship Id="rId263" Type="http://schemas.openxmlformats.org/officeDocument/2006/relationships/image" Target="media/image233.png"/><Relationship Id="rId264" Type="http://schemas.openxmlformats.org/officeDocument/2006/relationships/image" Target="media/image234.png"/><Relationship Id="rId265" Type="http://schemas.openxmlformats.org/officeDocument/2006/relationships/image" Target="media/image235.png"/><Relationship Id="rId266" Type="http://schemas.openxmlformats.org/officeDocument/2006/relationships/image" Target="media/image236.png"/><Relationship Id="rId267" Type="http://schemas.openxmlformats.org/officeDocument/2006/relationships/image" Target="media/image237.png"/><Relationship Id="rId268" Type="http://schemas.openxmlformats.org/officeDocument/2006/relationships/image" Target="media/image238.png"/><Relationship Id="rId269" Type="http://schemas.openxmlformats.org/officeDocument/2006/relationships/image" Target="media/image239.png"/><Relationship Id="rId270" Type="http://schemas.openxmlformats.org/officeDocument/2006/relationships/image" Target="media/image240.png"/><Relationship Id="rId271" Type="http://schemas.openxmlformats.org/officeDocument/2006/relationships/image" Target="media/image241.png"/><Relationship Id="rId272" Type="http://schemas.openxmlformats.org/officeDocument/2006/relationships/image" Target="media/image242.png"/><Relationship Id="rId273" Type="http://schemas.openxmlformats.org/officeDocument/2006/relationships/image" Target="media/image243.png"/><Relationship Id="rId274" Type="http://schemas.openxmlformats.org/officeDocument/2006/relationships/image" Target="media/image244.png"/><Relationship Id="rId275" Type="http://schemas.openxmlformats.org/officeDocument/2006/relationships/image" Target="media/image245.png"/><Relationship Id="rId276" Type="http://schemas.openxmlformats.org/officeDocument/2006/relationships/image" Target="media/image246.png"/><Relationship Id="rId277" Type="http://schemas.openxmlformats.org/officeDocument/2006/relationships/image" Target="media/image247.png"/><Relationship Id="rId278" Type="http://schemas.openxmlformats.org/officeDocument/2006/relationships/image" Target="media/image248.png"/><Relationship Id="rId279" Type="http://schemas.openxmlformats.org/officeDocument/2006/relationships/image" Target="media/image249.png"/><Relationship Id="rId280" Type="http://schemas.openxmlformats.org/officeDocument/2006/relationships/image" Target="media/image250.png"/><Relationship Id="rId281" Type="http://schemas.openxmlformats.org/officeDocument/2006/relationships/image" Target="media/image251.png"/><Relationship Id="rId282" Type="http://schemas.openxmlformats.org/officeDocument/2006/relationships/image" Target="media/image252.png"/><Relationship Id="rId283" Type="http://schemas.openxmlformats.org/officeDocument/2006/relationships/image" Target="media/image253.png"/><Relationship Id="rId284" Type="http://schemas.openxmlformats.org/officeDocument/2006/relationships/image" Target="media/image254.png"/><Relationship Id="rId285" Type="http://schemas.openxmlformats.org/officeDocument/2006/relationships/image" Target="media/image255.png"/><Relationship Id="rId286" Type="http://schemas.openxmlformats.org/officeDocument/2006/relationships/image" Target="media/image256.png"/><Relationship Id="rId287" Type="http://schemas.openxmlformats.org/officeDocument/2006/relationships/image" Target="media/image257.png"/><Relationship Id="rId288" Type="http://schemas.openxmlformats.org/officeDocument/2006/relationships/image" Target="media/image258.png"/><Relationship Id="rId289" Type="http://schemas.openxmlformats.org/officeDocument/2006/relationships/image" Target="media/image259.png"/><Relationship Id="rId290" Type="http://schemas.openxmlformats.org/officeDocument/2006/relationships/image" Target="media/image260.png"/><Relationship Id="rId291" Type="http://schemas.openxmlformats.org/officeDocument/2006/relationships/image" Target="media/image261.png"/><Relationship Id="rId292" Type="http://schemas.openxmlformats.org/officeDocument/2006/relationships/image" Target="media/image262.png"/><Relationship Id="rId293" Type="http://schemas.openxmlformats.org/officeDocument/2006/relationships/image" Target="media/image263.png"/><Relationship Id="rId294" Type="http://schemas.openxmlformats.org/officeDocument/2006/relationships/image" Target="media/image264.png"/><Relationship Id="rId295" Type="http://schemas.openxmlformats.org/officeDocument/2006/relationships/image" Target="media/image265.png"/><Relationship Id="rId296" Type="http://schemas.openxmlformats.org/officeDocument/2006/relationships/image" Target="media/image266.png"/><Relationship Id="rId297" Type="http://schemas.openxmlformats.org/officeDocument/2006/relationships/image" Target="media/image267.png"/><Relationship Id="rId298" Type="http://schemas.openxmlformats.org/officeDocument/2006/relationships/image" Target="media/image268.png"/><Relationship Id="rId299" Type="http://schemas.openxmlformats.org/officeDocument/2006/relationships/image" Target="media/image269.png"/><Relationship Id="rId300" Type="http://schemas.openxmlformats.org/officeDocument/2006/relationships/image" Target="media/image270.png"/><Relationship Id="rId301" Type="http://schemas.openxmlformats.org/officeDocument/2006/relationships/image" Target="media/image271.png"/><Relationship Id="rId302" Type="http://schemas.openxmlformats.org/officeDocument/2006/relationships/image" Target="media/image272.png"/><Relationship Id="rId303" Type="http://schemas.openxmlformats.org/officeDocument/2006/relationships/image" Target="media/image273.png"/><Relationship Id="rId304" Type="http://schemas.openxmlformats.org/officeDocument/2006/relationships/image" Target="media/image274.png"/><Relationship Id="rId305" Type="http://schemas.openxmlformats.org/officeDocument/2006/relationships/image" Target="media/image275.png"/><Relationship Id="rId306" Type="http://schemas.openxmlformats.org/officeDocument/2006/relationships/image" Target="media/image276.png"/><Relationship Id="rId307" Type="http://schemas.openxmlformats.org/officeDocument/2006/relationships/image" Target="media/image277.png"/><Relationship Id="rId308" Type="http://schemas.openxmlformats.org/officeDocument/2006/relationships/image" Target="media/image278.png"/><Relationship Id="rId309" Type="http://schemas.openxmlformats.org/officeDocument/2006/relationships/image" Target="media/image279.png"/><Relationship Id="rId310" Type="http://schemas.openxmlformats.org/officeDocument/2006/relationships/image" Target="media/image280.png"/><Relationship Id="rId311" Type="http://schemas.openxmlformats.org/officeDocument/2006/relationships/image" Target="media/image281.png"/><Relationship Id="rId312" Type="http://schemas.openxmlformats.org/officeDocument/2006/relationships/image" Target="media/image282.png"/><Relationship Id="rId313" Type="http://schemas.openxmlformats.org/officeDocument/2006/relationships/image" Target="media/image283.png"/><Relationship Id="rId314" Type="http://schemas.openxmlformats.org/officeDocument/2006/relationships/image" Target="media/image284.png"/><Relationship Id="rId315" Type="http://schemas.openxmlformats.org/officeDocument/2006/relationships/image" Target="media/image285.png"/><Relationship Id="rId316" Type="http://schemas.openxmlformats.org/officeDocument/2006/relationships/image" Target="media/image286.png"/><Relationship Id="rId317" Type="http://schemas.openxmlformats.org/officeDocument/2006/relationships/image" Target="media/image287.png"/><Relationship Id="rId318" Type="http://schemas.openxmlformats.org/officeDocument/2006/relationships/image" Target="media/image288.png"/><Relationship Id="rId319" Type="http://schemas.openxmlformats.org/officeDocument/2006/relationships/image" Target="media/image289.png"/><Relationship Id="rId320" Type="http://schemas.openxmlformats.org/officeDocument/2006/relationships/image" Target="media/image290.png"/><Relationship Id="rId321" Type="http://schemas.openxmlformats.org/officeDocument/2006/relationships/image" Target="media/image291.png"/><Relationship Id="rId322" Type="http://schemas.openxmlformats.org/officeDocument/2006/relationships/image" Target="media/image292.png"/><Relationship Id="rId323" Type="http://schemas.openxmlformats.org/officeDocument/2006/relationships/image" Target="media/image293.png"/><Relationship Id="rId324" Type="http://schemas.openxmlformats.org/officeDocument/2006/relationships/image" Target="media/image294.png"/><Relationship Id="rId325" Type="http://schemas.openxmlformats.org/officeDocument/2006/relationships/image" Target="media/image295.png"/><Relationship Id="rId326" Type="http://schemas.openxmlformats.org/officeDocument/2006/relationships/image" Target="media/image296.png"/><Relationship Id="rId327" Type="http://schemas.openxmlformats.org/officeDocument/2006/relationships/image" Target="media/image297.png"/><Relationship Id="rId328" Type="http://schemas.openxmlformats.org/officeDocument/2006/relationships/image" Target="media/image298.png"/><Relationship Id="rId329" Type="http://schemas.openxmlformats.org/officeDocument/2006/relationships/image" Target="media/image299.png"/><Relationship Id="rId330" Type="http://schemas.openxmlformats.org/officeDocument/2006/relationships/image" Target="media/image300.png"/><Relationship Id="rId331" Type="http://schemas.openxmlformats.org/officeDocument/2006/relationships/image" Target="media/image301.png"/><Relationship Id="rId332" Type="http://schemas.openxmlformats.org/officeDocument/2006/relationships/image" Target="media/image302.png"/><Relationship Id="rId333" Type="http://schemas.openxmlformats.org/officeDocument/2006/relationships/image" Target="media/image303.png"/><Relationship Id="rId334" Type="http://schemas.openxmlformats.org/officeDocument/2006/relationships/image" Target="media/image304.png"/><Relationship Id="rId335" Type="http://schemas.openxmlformats.org/officeDocument/2006/relationships/image" Target="media/image305.png"/><Relationship Id="rId336" Type="http://schemas.openxmlformats.org/officeDocument/2006/relationships/image" Target="media/image306.png"/><Relationship Id="rId337" Type="http://schemas.openxmlformats.org/officeDocument/2006/relationships/image" Target="media/image307.png"/><Relationship Id="rId338" Type="http://schemas.openxmlformats.org/officeDocument/2006/relationships/image" Target="media/image308.png"/><Relationship Id="rId339" Type="http://schemas.openxmlformats.org/officeDocument/2006/relationships/image" Target="media/image309.png"/><Relationship Id="rId340" Type="http://schemas.openxmlformats.org/officeDocument/2006/relationships/image" Target="media/image310.png"/><Relationship Id="rId341" Type="http://schemas.openxmlformats.org/officeDocument/2006/relationships/image" Target="media/image311.png"/><Relationship Id="rId342" Type="http://schemas.openxmlformats.org/officeDocument/2006/relationships/image" Target="media/image312.png"/><Relationship Id="rId343" Type="http://schemas.openxmlformats.org/officeDocument/2006/relationships/image" Target="media/image313.png"/><Relationship Id="rId344" Type="http://schemas.openxmlformats.org/officeDocument/2006/relationships/image" Target="media/image314.png"/><Relationship Id="rId345" Type="http://schemas.openxmlformats.org/officeDocument/2006/relationships/image" Target="media/image315.png"/><Relationship Id="rId346" Type="http://schemas.openxmlformats.org/officeDocument/2006/relationships/image" Target="media/image316.png"/><Relationship Id="rId347" Type="http://schemas.openxmlformats.org/officeDocument/2006/relationships/image" Target="media/image317.png"/><Relationship Id="rId348" Type="http://schemas.openxmlformats.org/officeDocument/2006/relationships/image" Target="media/image318.png"/><Relationship Id="rId349" Type="http://schemas.openxmlformats.org/officeDocument/2006/relationships/image" Target="media/image319.png"/><Relationship Id="rId350" Type="http://schemas.openxmlformats.org/officeDocument/2006/relationships/image" Target="media/image320.png"/><Relationship Id="rId351" Type="http://schemas.openxmlformats.org/officeDocument/2006/relationships/image" Target="media/image321.png"/><Relationship Id="rId352" Type="http://schemas.openxmlformats.org/officeDocument/2006/relationships/image" Target="media/image322.png"/><Relationship Id="rId353" Type="http://schemas.openxmlformats.org/officeDocument/2006/relationships/image" Target="media/image323.png"/><Relationship Id="rId354" Type="http://schemas.openxmlformats.org/officeDocument/2006/relationships/image" Target="media/image324.png"/><Relationship Id="rId355" Type="http://schemas.openxmlformats.org/officeDocument/2006/relationships/image" Target="media/image325.png"/><Relationship Id="rId356" Type="http://schemas.openxmlformats.org/officeDocument/2006/relationships/image" Target="media/image326.png"/><Relationship Id="rId357" Type="http://schemas.openxmlformats.org/officeDocument/2006/relationships/image" Target="media/image327.png"/><Relationship Id="rId358" Type="http://schemas.openxmlformats.org/officeDocument/2006/relationships/image" Target="media/image328.png"/><Relationship Id="rId359" Type="http://schemas.openxmlformats.org/officeDocument/2006/relationships/image" Target="media/image329.png"/><Relationship Id="rId360" Type="http://schemas.openxmlformats.org/officeDocument/2006/relationships/image" Target="media/image330.png"/><Relationship Id="rId361" Type="http://schemas.openxmlformats.org/officeDocument/2006/relationships/image" Target="media/image331.png"/><Relationship Id="rId362" Type="http://schemas.openxmlformats.org/officeDocument/2006/relationships/image" Target="media/image332.png"/><Relationship Id="rId363" Type="http://schemas.openxmlformats.org/officeDocument/2006/relationships/image" Target="media/image333.png"/><Relationship Id="rId364" Type="http://schemas.openxmlformats.org/officeDocument/2006/relationships/image" Target="media/image334.png"/><Relationship Id="rId365" Type="http://schemas.openxmlformats.org/officeDocument/2006/relationships/image" Target="media/image335.png"/><Relationship Id="rId366" Type="http://schemas.openxmlformats.org/officeDocument/2006/relationships/image" Target="media/image336.png"/><Relationship Id="rId367" Type="http://schemas.openxmlformats.org/officeDocument/2006/relationships/image" Target="media/image337.png"/><Relationship Id="rId368" Type="http://schemas.openxmlformats.org/officeDocument/2006/relationships/image" Target="media/image338.png"/><Relationship Id="rId369" Type="http://schemas.openxmlformats.org/officeDocument/2006/relationships/image" Target="media/image339.png"/><Relationship Id="rId370" Type="http://schemas.openxmlformats.org/officeDocument/2006/relationships/image" Target="media/image340.png"/><Relationship Id="rId371" Type="http://schemas.openxmlformats.org/officeDocument/2006/relationships/image" Target="media/image341.png"/><Relationship Id="rId372" Type="http://schemas.openxmlformats.org/officeDocument/2006/relationships/image" Target="media/image342.png"/><Relationship Id="rId373" Type="http://schemas.openxmlformats.org/officeDocument/2006/relationships/image" Target="media/image343.png"/><Relationship Id="rId374" Type="http://schemas.openxmlformats.org/officeDocument/2006/relationships/image" Target="media/image344.png"/><Relationship Id="rId375" Type="http://schemas.openxmlformats.org/officeDocument/2006/relationships/image" Target="media/image345.png"/><Relationship Id="rId376" Type="http://schemas.openxmlformats.org/officeDocument/2006/relationships/image" Target="media/image346.png"/><Relationship Id="rId377" Type="http://schemas.openxmlformats.org/officeDocument/2006/relationships/image" Target="media/image347.png"/><Relationship Id="rId378" Type="http://schemas.openxmlformats.org/officeDocument/2006/relationships/image" Target="media/image348.png"/><Relationship Id="rId379" Type="http://schemas.openxmlformats.org/officeDocument/2006/relationships/image" Target="media/image349.png"/><Relationship Id="rId380" Type="http://schemas.openxmlformats.org/officeDocument/2006/relationships/image" Target="media/image350.png"/><Relationship Id="rId381" Type="http://schemas.openxmlformats.org/officeDocument/2006/relationships/image" Target="media/image351.png"/><Relationship Id="rId382" Type="http://schemas.openxmlformats.org/officeDocument/2006/relationships/image" Target="media/image352.png"/><Relationship Id="rId383" Type="http://schemas.openxmlformats.org/officeDocument/2006/relationships/image" Target="media/image353.png"/><Relationship Id="rId384" Type="http://schemas.openxmlformats.org/officeDocument/2006/relationships/image" Target="media/image354.png"/><Relationship Id="rId385" Type="http://schemas.openxmlformats.org/officeDocument/2006/relationships/image" Target="media/image355.png"/><Relationship Id="rId386" Type="http://schemas.openxmlformats.org/officeDocument/2006/relationships/image" Target="media/image356.png"/><Relationship Id="rId387" Type="http://schemas.openxmlformats.org/officeDocument/2006/relationships/image" Target="media/image357.png"/><Relationship Id="rId388" Type="http://schemas.openxmlformats.org/officeDocument/2006/relationships/image" Target="media/image358.png"/><Relationship Id="rId389" Type="http://schemas.openxmlformats.org/officeDocument/2006/relationships/image" Target="media/image359.png"/><Relationship Id="rId390" Type="http://schemas.openxmlformats.org/officeDocument/2006/relationships/image" Target="media/image360.png"/><Relationship Id="rId391" Type="http://schemas.openxmlformats.org/officeDocument/2006/relationships/image" Target="media/image361.png"/><Relationship Id="rId392" Type="http://schemas.openxmlformats.org/officeDocument/2006/relationships/image" Target="media/image362.png"/><Relationship Id="rId393" Type="http://schemas.openxmlformats.org/officeDocument/2006/relationships/image" Target="media/image363.png"/><Relationship Id="rId394" Type="http://schemas.openxmlformats.org/officeDocument/2006/relationships/image" Target="media/image364.png"/><Relationship Id="rId395" Type="http://schemas.openxmlformats.org/officeDocument/2006/relationships/image" Target="media/image365.png"/><Relationship Id="rId396" Type="http://schemas.openxmlformats.org/officeDocument/2006/relationships/image" Target="media/image366.png"/><Relationship Id="rId397" Type="http://schemas.openxmlformats.org/officeDocument/2006/relationships/image" Target="media/image367.png"/><Relationship Id="rId398" Type="http://schemas.openxmlformats.org/officeDocument/2006/relationships/image" Target="media/image368.png"/><Relationship Id="rId399" Type="http://schemas.openxmlformats.org/officeDocument/2006/relationships/image" Target="media/image369.png"/><Relationship Id="rId400" Type="http://schemas.openxmlformats.org/officeDocument/2006/relationships/image" Target="media/image370.png"/><Relationship Id="rId401" Type="http://schemas.openxmlformats.org/officeDocument/2006/relationships/image" Target="media/image371.png"/><Relationship Id="rId402" Type="http://schemas.openxmlformats.org/officeDocument/2006/relationships/image" Target="media/image372.png"/><Relationship Id="rId403" Type="http://schemas.openxmlformats.org/officeDocument/2006/relationships/image" Target="media/image373.png"/><Relationship Id="rId404" Type="http://schemas.openxmlformats.org/officeDocument/2006/relationships/image" Target="media/image374.png"/><Relationship Id="rId405" Type="http://schemas.openxmlformats.org/officeDocument/2006/relationships/image" Target="media/image375.png"/><Relationship Id="rId406" Type="http://schemas.openxmlformats.org/officeDocument/2006/relationships/image" Target="media/image376.png"/><Relationship Id="rId407" Type="http://schemas.openxmlformats.org/officeDocument/2006/relationships/image" Target="media/image377.png"/><Relationship Id="rId408" Type="http://schemas.openxmlformats.org/officeDocument/2006/relationships/image" Target="media/image378.png"/><Relationship Id="rId409" Type="http://schemas.openxmlformats.org/officeDocument/2006/relationships/image" Target="media/image379.png"/><Relationship Id="rId410" Type="http://schemas.openxmlformats.org/officeDocument/2006/relationships/image" Target="media/image380.png"/><Relationship Id="rId411" Type="http://schemas.openxmlformats.org/officeDocument/2006/relationships/image" Target="media/image381.png"/><Relationship Id="rId412" Type="http://schemas.openxmlformats.org/officeDocument/2006/relationships/image" Target="media/image382.png"/><Relationship Id="rId413" Type="http://schemas.openxmlformats.org/officeDocument/2006/relationships/image" Target="media/image383.png"/><Relationship Id="rId414" Type="http://schemas.openxmlformats.org/officeDocument/2006/relationships/image" Target="media/image384.png"/><Relationship Id="rId415" Type="http://schemas.openxmlformats.org/officeDocument/2006/relationships/image" Target="media/image385.png"/><Relationship Id="rId416" Type="http://schemas.openxmlformats.org/officeDocument/2006/relationships/image" Target="media/image386.png"/><Relationship Id="rId417" Type="http://schemas.openxmlformats.org/officeDocument/2006/relationships/image" Target="media/image387.png"/><Relationship Id="rId418" Type="http://schemas.openxmlformats.org/officeDocument/2006/relationships/image" Target="media/image388.png"/><Relationship Id="rId419" Type="http://schemas.openxmlformats.org/officeDocument/2006/relationships/image" Target="media/image389.png"/><Relationship Id="rId420" Type="http://schemas.openxmlformats.org/officeDocument/2006/relationships/image" Target="media/image390.png"/><Relationship Id="rId421" Type="http://schemas.openxmlformats.org/officeDocument/2006/relationships/image" Target="media/image391.png"/><Relationship Id="rId422" Type="http://schemas.openxmlformats.org/officeDocument/2006/relationships/image" Target="media/image392.png"/><Relationship Id="rId423" Type="http://schemas.openxmlformats.org/officeDocument/2006/relationships/image" Target="media/image393.png"/><Relationship Id="rId424" Type="http://schemas.openxmlformats.org/officeDocument/2006/relationships/image" Target="media/image394.png"/><Relationship Id="rId425" Type="http://schemas.openxmlformats.org/officeDocument/2006/relationships/image" Target="media/image395.png"/><Relationship Id="rId426" Type="http://schemas.openxmlformats.org/officeDocument/2006/relationships/image" Target="media/image396.png"/><Relationship Id="rId427" Type="http://schemas.openxmlformats.org/officeDocument/2006/relationships/image" Target="media/image397.png"/><Relationship Id="rId428" Type="http://schemas.openxmlformats.org/officeDocument/2006/relationships/image" Target="media/image398.png"/><Relationship Id="rId429" Type="http://schemas.openxmlformats.org/officeDocument/2006/relationships/image" Target="media/image399.png"/><Relationship Id="rId430" Type="http://schemas.openxmlformats.org/officeDocument/2006/relationships/image" Target="media/image400.png"/><Relationship Id="rId431" Type="http://schemas.openxmlformats.org/officeDocument/2006/relationships/image" Target="media/image401.png"/><Relationship Id="rId432" Type="http://schemas.openxmlformats.org/officeDocument/2006/relationships/image" Target="media/image402.png"/><Relationship Id="rId433" Type="http://schemas.openxmlformats.org/officeDocument/2006/relationships/image" Target="media/image403.png"/><Relationship Id="rId434" Type="http://schemas.openxmlformats.org/officeDocument/2006/relationships/image" Target="media/image404.png"/><Relationship Id="rId435" Type="http://schemas.openxmlformats.org/officeDocument/2006/relationships/image" Target="media/image405.png"/><Relationship Id="rId436" Type="http://schemas.openxmlformats.org/officeDocument/2006/relationships/image" Target="media/image406.png"/><Relationship Id="rId437" Type="http://schemas.openxmlformats.org/officeDocument/2006/relationships/image" Target="media/image407.png"/><Relationship Id="rId438" Type="http://schemas.openxmlformats.org/officeDocument/2006/relationships/image" Target="media/image408.png"/><Relationship Id="rId439" Type="http://schemas.openxmlformats.org/officeDocument/2006/relationships/image" Target="media/image409.png"/><Relationship Id="rId440" Type="http://schemas.openxmlformats.org/officeDocument/2006/relationships/image" Target="media/image410.png"/><Relationship Id="rId441" Type="http://schemas.openxmlformats.org/officeDocument/2006/relationships/image" Target="media/image411.png"/><Relationship Id="rId442" Type="http://schemas.openxmlformats.org/officeDocument/2006/relationships/image" Target="media/image412.png"/><Relationship Id="rId443" Type="http://schemas.openxmlformats.org/officeDocument/2006/relationships/image" Target="media/image413.png"/><Relationship Id="rId444" Type="http://schemas.openxmlformats.org/officeDocument/2006/relationships/image" Target="media/image414.png"/><Relationship Id="rId445" Type="http://schemas.openxmlformats.org/officeDocument/2006/relationships/image" Target="media/image415.png"/><Relationship Id="rId446" Type="http://schemas.openxmlformats.org/officeDocument/2006/relationships/image" Target="media/image416.png"/><Relationship Id="rId447" Type="http://schemas.openxmlformats.org/officeDocument/2006/relationships/image" Target="media/image417.png"/><Relationship Id="rId448" Type="http://schemas.openxmlformats.org/officeDocument/2006/relationships/image" Target="media/image418.png"/><Relationship Id="rId449" Type="http://schemas.openxmlformats.org/officeDocument/2006/relationships/image" Target="media/image419.png"/><Relationship Id="rId450" Type="http://schemas.openxmlformats.org/officeDocument/2006/relationships/image" Target="media/image420.png"/><Relationship Id="rId451" Type="http://schemas.openxmlformats.org/officeDocument/2006/relationships/image" Target="media/image421.png"/><Relationship Id="rId452" Type="http://schemas.openxmlformats.org/officeDocument/2006/relationships/image" Target="media/image422.png"/><Relationship Id="rId453" Type="http://schemas.openxmlformats.org/officeDocument/2006/relationships/image" Target="media/image423.png"/><Relationship Id="rId454" Type="http://schemas.openxmlformats.org/officeDocument/2006/relationships/image" Target="media/image424.png"/><Relationship Id="rId455" Type="http://schemas.openxmlformats.org/officeDocument/2006/relationships/image" Target="media/image425.png"/><Relationship Id="rId456" Type="http://schemas.openxmlformats.org/officeDocument/2006/relationships/image" Target="media/image426.png"/><Relationship Id="rId457" Type="http://schemas.openxmlformats.org/officeDocument/2006/relationships/image" Target="media/image427.png"/><Relationship Id="rId458" Type="http://schemas.openxmlformats.org/officeDocument/2006/relationships/image" Target="media/image428.png"/><Relationship Id="rId459" Type="http://schemas.openxmlformats.org/officeDocument/2006/relationships/image" Target="media/image429.png"/><Relationship Id="rId460" Type="http://schemas.openxmlformats.org/officeDocument/2006/relationships/image" Target="media/image430.png"/><Relationship Id="rId461" Type="http://schemas.openxmlformats.org/officeDocument/2006/relationships/image" Target="media/image431.png"/><Relationship Id="rId462" Type="http://schemas.openxmlformats.org/officeDocument/2006/relationships/image" Target="media/image432.png"/><Relationship Id="rId463" Type="http://schemas.openxmlformats.org/officeDocument/2006/relationships/image" Target="media/image433.png"/><Relationship Id="rId464" Type="http://schemas.openxmlformats.org/officeDocument/2006/relationships/image" Target="media/image434.png"/><Relationship Id="rId465" Type="http://schemas.openxmlformats.org/officeDocument/2006/relationships/image" Target="media/image435.png"/><Relationship Id="rId466" Type="http://schemas.openxmlformats.org/officeDocument/2006/relationships/image" Target="media/image436.png"/><Relationship Id="rId467" Type="http://schemas.openxmlformats.org/officeDocument/2006/relationships/image" Target="media/image437.png"/><Relationship Id="rId468" Type="http://schemas.openxmlformats.org/officeDocument/2006/relationships/image" Target="media/image438.png"/><Relationship Id="rId469" Type="http://schemas.openxmlformats.org/officeDocument/2006/relationships/image" Target="media/image439.png"/><Relationship Id="rId470" Type="http://schemas.openxmlformats.org/officeDocument/2006/relationships/image" Target="media/image440.png"/><Relationship Id="rId471" Type="http://schemas.openxmlformats.org/officeDocument/2006/relationships/image" Target="media/image441.png"/><Relationship Id="rId472" Type="http://schemas.openxmlformats.org/officeDocument/2006/relationships/image" Target="media/image442.png"/><Relationship Id="rId473" Type="http://schemas.openxmlformats.org/officeDocument/2006/relationships/image" Target="media/image443.png"/><Relationship Id="rId474" Type="http://schemas.openxmlformats.org/officeDocument/2006/relationships/image" Target="media/image444.png"/><Relationship Id="rId475" Type="http://schemas.openxmlformats.org/officeDocument/2006/relationships/image" Target="media/image445.png"/><Relationship Id="rId476" Type="http://schemas.openxmlformats.org/officeDocument/2006/relationships/image" Target="media/image446.png"/><Relationship Id="rId477" Type="http://schemas.openxmlformats.org/officeDocument/2006/relationships/image" Target="media/image447.png"/><Relationship Id="rId478" Type="http://schemas.openxmlformats.org/officeDocument/2006/relationships/image" Target="media/image448.png"/><Relationship Id="rId479" Type="http://schemas.openxmlformats.org/officeDocument/2006/relationships/image" Target="media/image449.png"/><Relationship Id="rId480" Type="http://schemas.openxmlformats.org/officeDocument/2006/relationships/image" Target="media/image450.png"/><Relationship Id="rId481" Type="http://schemas.openxmlformats.org/officeDocument/2006/relationships/image" Target="media/image451.png"/><Relationship Id="rId482" Type="http://schemas.openxmlformats.org/officeDocument/2006/relationships/image" Target="media/image452.png"/><Relationship Id="rId483" Type="http://schemas.openxmlformats.org/officeDocument/2006/relationships/image" Target="media/image453.png"/><Relationship Id="rId484" Type="http://schemas.openxmlformats.org/officeDocument/2006/relationships/image" Target="media/image454.png"/><Relationship Id="rId485" Type="http://schemas.openxmlformats.org/officeDocument/2006/relationships/image" Target="media/image455.png"/><Relationship Id="rId486" Type="http://schemas.openxmlformats.org/officeDocument/2006/relationships/image" Target="media/image456.png"/><Relationship Id="rId487" Type="http://schemas.openxmlformats.org/officeDocument/2006/relationships/image" Target="media/image457.png"/><Relationship Id="rId488" Type="http://schemas.openxmlformats.org/officeDocument/2006/relationships/image" Target="media/image458.png"/><Relationship Id="rId489" Type="http://schemas.openxmlformats.org/officeDocument/2006/relationships/image" Target="media/image459.png"/><Relationship Id="rId490" Type="http://schemas.openxmlformats.org/officeDocument/2006/relationships/image" Target="media/image460.png"/><Relationship Id="rId491" Type="http://schemas.openxmlformats.org/officeDocument/2006/relationships/image" Target="media/image461.png"/><Relationship Id="rId492" Type="http://schemas.openxmlformats.org/officeDocument/2006/relationships/image" Target="media/image462.png"/><Relationship Id="rId493" Type="http://schemas.openxmlformats.org/officeDocument/2006/relationships/image" Target="media/image463.png"/><Relationship Id="rId494" Type="http://schemas.openxmlformats.org/officeDocument/2006/relationships/image" Target="media/image464.png"/><Relationship Id="rId495" Type="http://schemas.openxmlformats.org/officeDocument/2006/relationships/image" Target="media/image465.png"/><Relationship Id="rId496" Type="http://schemas.openxmlformats.org/officeDocument/2006/relationships/image" Target="media/image466.png"/><Relationship Id="rId497" Type="http://schemas.openxmlformats.org/officeDocument/2006/relationships/image" Target="media/image467.png"/><Relationship Id="rId498" Type="http://schemas.openxmlformats.org/officeDocument/2006/relationships/image" Target="media/image468.png"/><Relationship Id="rId499" Type="http://schemas.openxmlformats.org/officeDocument/2006/relationships/image" Target="media/image469.png"/><Relationship Id="rId500" Type="http://schemas.openxmlformats.org/officeDocument/2006/relationships/image" Target="media/image470.png"/><Relationship Id="rId501" Type="http://schemas.openxmlformats.org/officeDocument/2006/relationships/image" Target="media/image471.png"/><Relationship Id="rId502" Type="http://schemas.openxmlformats.org/officeDocument/2006/relationships/image" Target="media/image472.png"/><Relationship Id="rId503" Type="http://schemas.openxmlformats.org/officeDocument/2006/relationships/image" Target="media/image473.png"/><Relationship Id="rId504" Type="http://schemas.openxmlformats.org/officeDocument/2006/relationships/image" Target="media/image474.png"/><Relationship Id="rId505" Type="http://schemas.openxmlformats.org/officeDocument/2006/relationships/image" Target="media/image475.png"/><Relationship Id="rId506" Type="http://schemas.openxmlformats.org/officeDocument/2006/relationships/image" Target="media/image476.png"/><Relationship Id="rId507" Type="http://schemas.openxmlformats.org/officeDocument/2006/relationships/image" Target="media/image477.png"/><Relationship Id="rId508" Type="http://schemas.openxmlformats.org/officeDocument/2006/relationships/image" Target="media/image478.png"/><Relationship Id="rId509" Type="http://schemas.openxmlformats.org/officeDocument/2006/relationships/image" Target="media/image479.png"/><Relationship Id="rId510" Type="http://schemas.openxmlformats.org/officeDocument/2006/relationships/image" Target="media/image480.png"/><Relationship Id="rId511" Type="http://schemas.openxmlformats.org/officeDocument/2006/relationships/image" Target="media/image481.png"/><Relationship Id="rId512" Type="http://schemas.openxmlformats.org/officeDocument/2006/relationships/image" Target="media/image482.png"/><Relationship Id="rId513" Type="http://schemas.openxmlformats.org/officeDocument/2006/relationships/image" Target="media/image483.png"/><Relationship Id="rId514" Type="http://schemas.openxmlformats.org/officeDocument/2006/relationships/image" Target="media/image484.png"/><Relationship Id="rId515" Type="http://schemas.openxmlformats.org/officeDocument/2006/relationships/image" Target="media/image485.jpeg"/><Relationship Id="rId516" Type="http://schemas.openxmlformats.org/officeDocument/2006/relationships/image" Target="media/image486.png"/><Relationship Id="rId517" Type="http://schemas.openxmlformats.org/officeDocument/2006/relationships/image" Target="media/image487.jpeg"/><Relationship Id="rId518" Type="http://schemas.openxmlformats.org/officeDocument/2006/relationships/image" Target="media/image488.png"/><Relationship Id="rId519" Type="http://schemas.openxmlformats.org/officeDocument/2006/relationships/image" Target="media/image489.png"/><Relationship Id="rId520" Type="http://schemas.openxmlformats.org/officeDocument/2006/relationships/image" Target="media/image490.png"/><Relationship Id="rId521" Type="http://schemas.openxmlformats.org/officeDocument/2006/relationships/image" Target="media/image491.png"/><Relationship Id="rId522" Type="http://schemas.openxmlformats.org/officeDocument/2006/relationships/image" Target="media/image492.png"/><Relationship Id="rId523" Type="http://schemas.openxmlformats.org/officeDocument/2006/relationships/image" Target="media/image493.png"/><Relationship Id="rId524" Type="http://schemas.openxmlformats.org/officeDocument/2006/relationships/image" Target="media/image494.png"/><Relationship Id="rId525" Type="http://schemas.openxmlformats.org/officeDocument/2006/relationships/image" Target="media/image495.png"/><Relationship Id="rId526" Type="http://schemas.openxmlformats.org/officeDocument/2006/relationships/image" Target="media/image496.png"/><Relationship Id="rId527" Type="http://schemas.openxmlformats.org/officeDocument/2006/relationships/image" Target="media/image497.png"/><Relationship Id="rId528" Type="http://schemas.openxmlformats.org/officeDocument/2006/relationships/image" Target="media/image498.png"/><Relationship Id="rId529" Type="http://schemas.openxmlformats.org/officeDocument/2006/relationships/image" Target="media/image499.png"/><Relationship Id="rId530" Type="http://schemas.openxmlformats.org/officeDocument/2006/relationships/image" Target="media/image500.png"/><Relationship Id="rId531" Type="http://schemas.openxmlformats.org/officeDocument/2006/relationships/image" Target="media/image501.png"/><Relationship Id="rId532" Type="http://schemas.openxmlformats.org/officeDocument/2006/relationships/image" Target="media/image502.png"/><Relationship Id="rId533" Type="http://schemas.openxmlformats.org/officeDocument/2006/relationships/image" Target="media/image503.png"/><Relationship Id="rId534" Type="http://schemas.openxmlformats.org/officeDocument/2006/relationships/image" Target="media/image504.png"/><Relationship Id="rId535" Type="http://schemas.openxmlformats.org/officeDocument/2006/relationships/image" Target="media/image505.png"/><Relationship Id="rId536" Type="http://schemas.openxmlformats.org/officeDocument/2006/relationships/image" Target="media/image506.png"/><Relationship Id="rId537" Type="http://schemas.openxmlformats.org/officeDocument/2006/relationships/image" Target="media/image507.png"/><Relationship Id="rId538" Type="http://schemas.openxmlformats.org/officeDocument/2006/relationships/image" Target="media/image508.png"/><Relationship Id="rId539" Type="http://schemas.openxmlformats.org/officeDocument/2006/relationships/image" Target="media/image509.png"/><Relationship Id="rId540" Type="http://schemas.openxmlformats.org/officeDocument/2006/relationships/image" Target="media/image510.png"/><Relationship Id="rId541" Type="http://schemas.openxmlformats.org/officeDocument/2006/relationships/image" Target="media/image511.png"/><Relationship Id="rId542" Type="http://schemas.openxmlformats.org/officeDocument/2006/relationships/image" Target="media/image512.png"/><Relationship Id="rId543" Type="http://schemas.openxmlformats.org/officeDocument/2006/relationships/image" Target="media/image513.png"/><Relationship Id="rId544" Type="http://schemas.openxmlformats.org/officeDocument/2006/relationships/image" Target="media/image514.png"/><Relationship Id="rId545" Type="http://schemas.openxmlformats.org/officeDocument/2006/relationships/image" Target="media/image515.png"/><Relationship Id="rId546" Type="http://schemas.openxmlformats.org/officeDocument/2006/relationships/image" Target="media/image516.png"/><Relationship Id="rId547" Type="http://schemas.openxmlformats.org/officeDocument/2006/relationships/image" Target="media/image517.png"/><Relationship Id="rId548" Type="http://schemas.openxmlformats.org/officeDocument/2006/relationships/image" Target="media/image518.png"/><Relationship Id="rId549" Type="http://schemas.openxmlformats.org/officeDocument/2006/relationships/image" Target="media/image519.png"/><Relationship Id="rId550" Type="http://schemas.openxmlformats.org/officeDocument/2006/relationships/image" Target="media/image520.png"/><Relationship Id="rId551" Type="http://schemas.openxmlformats.org/officeDocument/2006/relationships/image" Target="media/image521.png"/><Relationship Id="rId552" Type="http://schemas.openxmlformats.org/officeDocument/2006/relationships/image" Target="media/image522.png"/><Relationship Id="rId553" Type="http://schemas.openxmlformats.org/officeDocument/2006/relationships/image" Target="media/image523.png"/><Relationship Id="rId554" Type="http://schemas.openxmlformats.org/officeDocument/2006/relationships/image" Target="media/image524.png"/><Relationship Id="rId555" Type="http://schemas.openxmlformats.org/officeDocument/2006/relationships/image" Target="media/image525.png"/><Relationship Id="rId556" Type="http://schemas.openxmlformats.org/officeDocument/2006/relationships/image" Target="media/image526.png"/><Relationship Id="rId557" Type="http://schemas.openxmlformats.org/officeDocument/2006/relationships/image" Target="media/image527.png"/><Relationship Id="rId558" Type="http://schemas.openxmlformats.org/officeDocument/2006/relationships/image" Target="media/image528.png"/><Relationship Id="rId559" Type="http://schemas.openxmlformats.org/officeDocument/2006/relationships/image" Target="media/image529.png"/><Relationship Id="rId560" Type="http://schemas.openxmlformats.org/officeDocument/2006/relationships/image" Target="media/image530.png"/><Relationship Id="rId561" Type="http://schemas.openxmlformats.org/officeDocument/2006/relationships/image" Target="media/image531.png"/><Relationship Id="rId562" Type="http://schemas.openxmlformats.org/officeDocument/2006/relationships/image" Target="media/image532.png"/><Relationship Id="rId563" Type="http://schemas.openxmlformats.org/officeDocument/2006/relationships/image" Target="media/image533.png"/><Relationship Id="rId564" Type="http://schemas.openxmlformats.org/officeDocument/2006/relationships/image" Target="media/image534.png"/><Relationship Id="rId565" Type="http://schemas.openxmlformats.org/officeDocument/2006/relationships/image" Target="media/image535.png"/><Relationship Id="rId566" Type="http://schemas.openxmlformats.org/officeDocument/2006/relationships/image" Target="media/image536.png"/><Relationship Id="rId567" Type="http://schemas.openxmlformats.org/officeDocument/2006/relationships/image" Target="media/image537.png"/><Relationship Id="rId568" Type="http://schemas.openxmlformats.org/officeDocument/2006/relationships/image" Target="media/image538.png"/><Relationship Id="rId569" Type="http://schemas.openxmlformats.org/officeDocument/2006/relationships/image" Target="media/image539.png"/><Relationship Id="rId570" Type="http://schemas.openxmlformats.org/officeDocument/2006/relationships/image" Target="media/image540.png"/><Relationship Id="rId571" Type="http://schemas.openxmlformats.org/officeDocument/2006/relationships/image" Target="media/image541.png"/><Relationship Id="rId572" Type="http://schemas.openxmlformats.org/officeDocument/2006/relationships/image" Target="media/image542.png"/><Relationship Id="rId573" Type="http://schemas.openxmlformats.org/officeDocument/2006/relationships/image" Target="media/image543.png"/><Relationship Id="rId574" Type="http://schemas.openxmlformats.org/officeDocument/2006/relationships/image" Target="media/image544.png"/><Relationship Id="rId575" Type="http://schemas.openxmlformats.org/officeDocument/2006/relationships/image" Target="media/image545.png"/><Relationship Id="rId576" Type="http://schemas.openxmlformats.org/officeDocument/2006/relationships/image" Target="media/image546.png"/><Relationship Id="rId577" Type="http://schemas.openxmlformats.org/officeDocument/2006/relationships/image" Target="media/image547.png"/><Relationship Id="rId578" Type="http://schemas.openxmlformats.org/officeDocument/2006/relationships/image" Target="media/image548.png"/><Relationship Id="rId579" Type="http://schemas.openxmlformats.org/officeDocument/2006/relationships/image" Target="media/image549.png"/><Relationship Id="rId580" Type="http://schemas.openxmlformats.org/officeDocument/2006/relationships/image" Target="media/image550.png"/><Relationship Id="rId581" Type="http://schemas.openxmlformats.org/officeDocument/2006/relationships/image" Target="media/image551.png"/><Relationship Id="rId582" Type="http://schemas.openxmlformats.org/officeDocument/2006/relationships/image" Target="media/image552.png"/><Relationship Id="rId583" Type="http://schemas.openxmlformats.org/officeDocument/2006/relationships/image" Target="media/image553.png"/><Relationship Id="rId584" Type="http://schemas.openxmlformats.org/officeDocument/2006/relationships/image" Target="media/image554.png"/><Relationship Id="rId585" Type="http://schemas.openxmlformats.org/officeDocument/2006/relationships/image" Target="media/image555.png"/><Relationship Id="rId586" Type="http://schemas.openxmlformats.org/officeDocument/2006/relationships/image" Target="media/image556.png"/><Relationship Id="rId587" Type="http://schemas.openxmlformats.org/officeDocument/2006/relationships/image" Target="media/image557.png"/><Relationship Id="rId588" Type="http://schemas.openxmlformats.org/officeDocument/2006/relationships/image" Target="media/image558.png"/><Relationship Id="rId589" Type="http://schemas.openxmlformats.org/officeDocument/2006/relationships/image" Target="media/image559.png"/><Relationship Id="rId590" Type="http://schemas.openxmlformats.org/officeDocument/2006/relationships/image" Target="media/image560.png"/><Relationship Id="rId591" Type="http://schemas.openxmlformats.org/officeDocument/2006/relationships/image" Target="media/image561.png"/><Relationship Id="rId592" Type="http://schemas.openxmlformats.org/officeDocument/2006/relationships/image" Target="media/image562.png"/><Relationship Id="rId593" Type="http://schemas.openxmlformats.org/officeDocument/2006/relationships/image" Target="media/image563.png"/><Relationship Id="rId594" Type="http://schemas.openxmlformats.org/officeDocument/2006/relationships/image" Target="media/image564.png"/><Relationship Id="rId595" Type="http://schemas.openxmlformats.org/officeDocument/2006/relationships/image" Target="media/image565.png"/><Relationship Id="rId596" Type="http://schemas.openxmlformats.org/officeDocument/2006/relationships/image" Target="media/image566.png"/><Relationship Id="rId597" Type="http://schemas.openxmlformats.org/officeDocument/2006/relationships/image" Target="media/image567.png"/><Relationship Id="rId598" Type="http://schemas.openxmlformats.org/officeDocument/2006/relationships/image" Target="media/image568.png"/><Relationship Id="rId599" Type="http://schemas.openxmlformats.org/officeDocument/2006/relationships/image" Target="media/image569.png"/><Relationship Id="rId600" Type="http://schemas.openxmlformats.org/officeDocument/2006/relationships/image" Target="media/image570.png"/><Relationship Id="rId601" Type="http://schemas.openxmlformats.org/officeDocument/2006/relationships/image" Target="media/image571.png"/><Relationship Id="rId602" Type="http://schemas.openxmlformats.org/officeDocument/2006/relationships/image" Target="media/image572.png"/><Relationship Id="rId603" Type="http://schemas.openxmlformats.org/officeDocument/2006/relationships/image" Target="media/image573.png"/><Relationship Id="rId604" Type="http://schemas.openxmlformats.org/officeDocument/2006/relationships/image" Target="media/image574.png"/><Relationship Id="rId605" Type="http://schemas.openxmlformats.org/officeDocument/2006/relationships/image" Target="media/image575.png"/><Relationship Id="rId606" Type="http://schemas.openxmlformats.org/officeDocument/2006/relationships/image" Target="media/image576.png"/><Relationship Id="rId607" Type="http://schemas.openxmlformats.org/officeDocument/2006/relationships/image" Target="media/image577.png"/><Relationship Id="rId608" Type="http://schemas.openxmlformats.org/officeDocument/2006/relationships/image" Target="media/image578.png"/><Relationship Id="rId609" Type="http://schemas.openxmlformats.org/officeDocument/2006/relationships/image" Target="media/image579.png"/><Relationship Id="rId610" Type="http://schemas.openxmlformats.org/officeDocument/2006/relationships/image" Target="media/image580.png"/><Relationship Id="rId611" Type="http://schemas.openxmlformats.org/officeDocument/2006/relationships/image" Target="media/image581.png"/><Relationship Id="rId612" Type="http://schemas.openxmlformats.org/officeDocument/2006/relationships/image" Target="media/image582.png"/><Relationship Id="rId613" Type="http://schemas.openxmlformats.org/officeDocument/2006/relationships/image" Target="media/image583.png"/><Relationship Id="rId614" Type="http://schemas.openxmlformats.org/officeDocument/2006/relationships/image" Target="media/image584.png"/><Relationship Id="rId615" Type="http://schemas.openxmlformats.org/officeDocument/2006/relationships/image" Target="media/image585.png"/><Relationship Id="rId616" Type="http://schemas.openxmlformats.org/officeDocument/2006/relationships/image" Target="media/image586.png"/><Relationship Id="rId617" Type="http://schemas.openxmlformats.org/officeDocument/2006/relationships/image" Target="media/image587.png"/><Relationship Id="rId618" Type="http://schemas.openxmlformats.org/officeDocument/2006/relationships/image" Target="media/image588.png"/><Relationship Id="rId619" Type="http://schemas.openxmlformats.org/officeDocument/2006/relationships/image" Target="media/image589.png"/><Relationship Id="rId620" Type="http://schemas.openxmlformats.org/officeDocument/2006/relationships/image" Target="media/image590.png"/><Relationship Id="rId621" Type="http://schemas.openxmlformats.org/officeDocument/2006/relationships/image" Target="media/image591.png"/><Relationship Id="rId622" Type="http://schemas.openxmlformats.org/officeDocument/2006/relationships/image" Target="media/image592.png"/><Relationship Id="rId623" Type="http://schemas.openxmlformats.org/officeDocument/2006/relationships/image" Target="media/image593.png"/><Relationship Id="rId624" Type="http://schemas.openxmlformats.org/officeDocument/2006/relationships/image" Target="media/image594.png"/><Relationship Id="rId625" Type="http://schemas.openxmlformats.org/officeDocument/2006/relationships/image" Target="media/image595.png"/><Relationship Id="rId626" Type="http://schemas.openxmlformats.org/officeDocument/2006/relationships/image" Target="media/image596.png"/><Relationship Id="rId627" Type="http://schemas.openxmlformats.org/officeDocument/2006/relationships/image" Target="media/image597.png"/><Relationship Id="rId628" Type="http://schemas.openxmlformats.org/officeDocument/2006/relationships/image" Target="media/image598.png"/><Relationship Id="rId629" Type="http://schemas.openxmlformats.org/officeDocument/2006/relationships/image" Target="media/image599.png"/><Relationship Id="rId161" Type="http://schemas.openxmlformats.org/officeDocument/2006/relationships/hyperlink" Target="https://www.sec.gov/Archives/edgar/data/1850270/000119312522014862/d259568dex21.htm" TargetMode="External"/><Relationship Id="rId162" Type="http://schemas.openxmlformats.org/officeDocument/2006/relationships/hyperlink" Target="https://www.sec.gov/Archives/edgar/data/1850270/000119312522172036/d546367ddefm14a.htm#toc546367_44" TargetMode="External"/><Relationship Id="rId163" Type="http://schemas.openxmlformats.org/officeDocument/2006/relationships/hyperlink" Target="https://www.sec.gov/Archives/edgar/data/1850270/000119312522195148/d285643dex31.htm" TargetMode="External"/><Relationship Id="rId164" Type="http://schemas.openxmlformats.org/officeDocument/2006/relationships/hyperlink" Target="https://www.sec.gov/Archives/edgar/data/1850270/000119312522195148/d285643dex101.htm" TargetMode="External"/><Relationship Id="rId165" Type="http://schemas.openxmlformats.org/officeDocument/2006/relationships/hyperlink" Target="https://www.sec.gov/Archives/edgar/data/1850270/000119312522195148/d285643dex102.htm" TargetMode="External"/><Relationship Id="rId166" Type="http://schemas.openxmlformats.org/officeDocument/2006/relationships/hyperlink" Target="https://www.sec.gov/Archives/edgar/data/1850270/000119312522195148/d285643dex103.htm" TargetMode="External"/><Relationship Id="rId167" Type="http://schemas.openxmlformats.org/officeDocument/2006/relationships/hyperlink" Target="https://www.sec.gov/Archives/edgar/data/1850270/000119312522195148/d285643dex104.htm" TargetMode="External"/><Relationship Id="rId168" Type="http://schemas.openxmlformats.org/officeDocument/2006/relationships/hyperlink" Target="https://www.sec.gov/Archives/edgar/data/1850270/000095017024034946/prok-ex10_5.htm" TargetMode="External"/><Relationship Id="rId171" Type="http://schemas.openxmlformats.org/officeDocument/2006/relationships/hyperlink" Target="https://www.sec.gov/Archives/edgar/data/1850270/000119312522195148/d285643dex1011.htm" TargetMode="External"/><Relationship Id="rId172" Type="http://schemas.openxmlformats.org/officeDocument/2006/relationships/hyperlink" Target="https://www.sec.gov/Archives/edgar/data/1850270/000119312522195148/d285643dex1012.htm" TargetMode="External"/><Relationship Id="rId173" Type="http://schemas.openxmlformats.org/officeDocument/2006/relationships/hyperlink" Target="https://www.sec.gov/Archives/edgar/data/1850270/000119312522195148/d285643dex1013.htm" TargetMode="External"/><Relationship Id="rId174" Type="http://schemas.openxmlformats.org/officeDocument/2006/relationships/hyperlink" Target="https://www.sec.gov/Archives/edgar/data/1850270/000095017023010324/prok-ex10_14.htm" TargetMode="External"/><Relationship Id="rId175" Type="http://schemas.openxmlformats.org/officeDocument/2006/relationships/hyperlink" Target="https://www.sec.gov/Archives/edgar/data/1850270/000095017023010324/prok-ex10_17.htm" TargetMode="External"/><Relationship Id="rId176" Type="http://schemas.openxmlformats.org/officeDocument/2006/relationships/hyperlink" Target="https://www.sec.gov/Archives/edgar/data/1850270/000095017023010324/prok-ex10_18.htm" TargetMode="External"/><Relationship Id="rId177" Type="http://schemas.openxmlformats.org/officeDocument/2006/relationships/hyperlink" Target="https://www.sec.gov/Archives/edgar/data/1850270/000095017023000923/prok-ex10_1.htm" TargetMode="External"/><Relationship Id="rId178" Type="http://schemas.openxmlformats.org/officeDocument/2006/relationships/hyperlink" Target="https://www.sec.gov/Archives/edgar/data/1850270/000095017023068152/prok-ex10_1.htm" TargetMode="External"/><Relationship Id="rId179" Type="http://schemas.openxmlformats.org/officeDocument/2006/relationships/hyperlink" Target="https://www.sec.gov/Archives/edgar/data/1850270/000119312522215250/d373959dex1014.htm" TargetMode="External"/><Relationship Id="rId180" Type="http://schemas.openxmlformats.org/officeDocument/2006/relationships/hyperlink" Target="https://www.sec.gov/Archives/edgar/data/1850270/000095017023010324/prok-ex10_30.htm" TargetMode="External"/><Relationship Id="rId181" Type="http://schemas.openxmlformats.org/officeDocument/2006/relationships/hyperlink" Target="https://www.sec.gov/Archives/edgar/data/1850270/000095017023010324/prok-ex10_31.htm" TargetMode="External"/><Relationship Id="rId182" Type="http://schemas.openxmlformats.org/officeDocument/2006/relationships/hyperlink" Target="https://www.sec.gov/Archives/edgar/data/1850270/000119312524011267/d664610dex11.htm" TargetMode="External"/><Relationship Id="rId183" Type="http://schemas.openxmlformats.org/officeDocument/2006/relationships/hyperlink" Target="https://www.sec.gov/Archives/edgar/data/1850270/000095017024035914/prok-ex10_1.htm" TargetMode="External"/><Relationship Id="rId184" Type="http://schemas.openxmlformats.org/officeDocument/2006/relationships/hyperlink" Target="https://www.sec.gov/Archives/edgar/data/1850270/000119312524160339/d814183dex101.htm" TargetMode="External"/><Relationship Id="rId187" Type="http://schemas.openxmlformats.org/officeDocument/2006/relationships/hyperlink" Target="https://www.sec.gov/Archives/edgar/data/1850270/000095017024034946/prok-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2025-03-17T16:49:23Z</dcterms:created>
  <dcterms:modified xsi:type="dcterms:W3CDTF">2025-03-17T16:49:23Z</dcterms:modified>
</cp:coreProperties>
</file>